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7868AF3" w14:textId="77777777" w:rsidR="00052541" w:rsidRPr="00060DAB" w:rsidRDefault="00052541" w:rsidP="00052541">
      <w:pPr>
        <w:adjustRightInd w:val="0"/>
        <w:spacing w:after="60" w:line="240" w:lineRule="auto"/>
        <w:jc w:val="left"/>
        <w:rPr>
          <w:rFonts w:ascii="Times New Roman" w:eastAsiaTheme="majorHAnsi" w:hAnsi="Times New Roman" w:cs="Times New Roman"/>
          <w:b/>
        </w:rPr>
      </w:pPr>
      <w:r w:rsidRPr="00060DAB">
        <w:rPr>
          <w:rFonts w:ascii="Times New Roman" w:eastAsiaTheme="majorHAnsi" w:hAnsi="Times New Roman" w:cs="Times New Roman"/>
          <w:b/>
        </w:rPr>
        <w:t>Supplemental figures</w:t>
      </w:r>
    </w:p>
    <w:p w14:paraId="6F8D5F38" w14:textId="77777777" w:rsidR="00052541" w:rsidRPr="00060DAB" w:rsidRDefault="00052541" w:rsidP="00052541">
      <w:pPr>
        <w:adjustRightInd w:val="0"/>
        <w:spacing w:after="60" w:line="240" w:lineRule="auto"/>
        <w:jc w:val="center"/>
        <w:rPr>
          <w:rFonts w:ascii="Times New Roman" w:eastAsiaTheme="majorHAnsi" w:hAnsi="Times New Roman" w:cs="Times New Roman"/>
          <w:sz w:val="24"/>
          <w:szCs w:val="24"/>
        </w:rPr>
      </w:pPr>
      <w:r w:rsidRPr="00501558">
        <w:rPr>
          <w:rFonts w:ascii="Times New Roman" w:eastAsiaTheme="majorHAnsi" w:hAnsi="Times New Roman" w:cs="Times New Roman"/>
          <w:noProof/>
          <w:sz w:val="24"/>
          <w:szCs w:val="24"/>
        </w:rPr>
        <w:drawing>
          <wp:inline distT="0" distB="0" distL="0" distR="0" wp14:anchorId="0DEEBCE2" wp14:editId="1AD0EF1D">
            <wp:extent cx="4860000" cy="6081238"/>
            <wp:effectExtent l="0" t="0" r="0" b="0"/>
            <wp:docPr id="19" name="그림 19" descr="G:\2017-2023\10. SLFN11\SLFN11 BIOCELL\SLFN11 BIOCELL_re_re_review\SLFN11 figure 원본\슬라이드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2017-2023\10. SLFN11\SLFN11 BIOCELL\SLFN11 BIOCELL_re_re_review\SLFN11 figure 원본\슬라이드6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218"/>
                    <a:stretch/>
                  </pic:blipFill>
                  <pic:spPr bwMode="auto">
                    <a:xfrm>
                      <a:off x="0" y="0"/>
                      <a:ext cx="4860000" cy="6081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8AEA78" w14:textId="77777777" w:rsidR="00052541" w:rsidRPr="00060DAB" w:rsidRDefault="00052541" w:rsidP="00052541">
      <w:pPr>
        <w:spacing w:after="60" w:line="240" w:lineRule="auto"/>
        <w:rPr>
          <w:rFonts w:ascii="Times New Roman" w:hAnsi="Times New Roman" w:cs="Times New Roman"/>
          <w:b/>
          <w:bCs/>
          <w:szCs w:val="20"/>
        </w:rPr>
      </w:pPr>
      <w:r w:rsidRPr="00060DAB">
        <w:rPr>
          <w:rFonts w:ascii="Times New Roman" w:eastAsiaTheme="majorHAnsi" w:hAnsi="Times New Roman" w:cs="Times New Roman"/>
          <w:b/>
          <w:szCs w:val="20"/>
        </w:rPr>
        <w:t xml:space="preserve">Supplemental Figure 1: </w:t>
      </w:r>
      <w:r w:rsidRPr="00060DAB">
        <w:rPr>
          <w:rFonts w:ascii="Times New Roman" w:hAnsi="Times New Roman" w:cs="Times New Roman"/>
          <w:b/>
          <w:i/>
          <w:szCs w:val="20"/>
        </w:rPr>
        <w:t>SLFN5</w:t>
      </w:r>
      <w:r w:rsidRPr="00060DAB">
        <w:rPr>
          <w:rFonts w:ascii="Times New Roman" w:hAnsi="Times New Roman" w:cs="Times New Roman"/>
          <w:b/>
          <w:szCs w:val="20"/>
        </w:rPr>
        <w:t xml:space="preserve">, </w:t>
      </w:r>
      <w:r w:rsidRPr="00060DAB">
        <w:rPr>
          <w:rFonts w:ascii="Times New Roman" w:hAnsi="Times New Roman" w:cs="Times New Roman"/>
          <w:b/>
          <w:i/>
          <w:szCs w:val="20"/>
        </w:rPr>
        <w:t>SLFN12</w:t>
      </w:r>
      <w:r w:rsidRPr="00060DAB">
        <w:rPr>
          <w:rFonts w:ascii="Times New Roman" w:hAnsi="Times New Roman" w:cs="Times New Roman"/>
          <w:b/>
          <w:szCs w:val="20"/>
        </w:rPr>
        <w:t xml:space="preserve">, </w:t>
      </w:r>
      <w:r w:rsidRPr="00060DAB">
        <w:rPr>
          <w:rFonts w:ascii="Times New Roman" w:hAnsi="Times New Roman" w:cs="Times New Roman"/>
          <w:b/>
          <w:i/>
          <w:szCs w:val="20"/>
        </w:rPr>
        <w:t>SLFN13</w:t>
      </w:r>
      <w:r w:rsidRPr="00060DAB">
        <w:rPr>
          <w:rFonts w:ascii="Times New Roman" w:hAnsi="Times New Roman" w:cs="Times New Roman"/>
          <w:b/>
          <w:szCs w:val="20"/>
        </w:rPr>
        <w:t xml:space="preserve">, and </w:t>
      </w:r>
      <w:r w:rsidRPr="00060DAB">
        <w:rPr>
          <w:rFonts w:ascii="Times New Roman" w:hAnsi="Times New Roman" w:cs="Times New Roman"/>
          <w:b/>
          <w:i/>
          <w:szCs w:val="20"/>
        </w:rPr>
        <w:t xml:space="preserve">SLFN14 </w:t>
      </w:r>
      <w:r w:rsidRPr="00060DAB">
        <w:rPr>
          <w:rFonts w:ascii="Times New Roman" w:hAnsi="Times New Roman" w:cs="Times New Roman"/>
          <w:b/>
          <w:szCs w:val="20"/>
        </w:rPr>
        <w:t>expression patterns and their association with survival outcomes in PC patients.</w:t>
      </w:r>
    </w:p>
    <w:p w14:paraId="7551D2A2" w14:textId="77777777" w:rsidR="00052541" w:rsidRPr="00060DAB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b/>
          <w:szCs w:val="20"/>
        </w:rPr>
      </w:pPr>
      <w:r w:rsidRPr="00060DAB">
        <w:rPr>
          <w:rFonts w:ascii="Times New Roman" w:hAnsi="Times New Roman" w:cs="Times New Roman"/>
          <w:szCs w:val="20"/>
        </w:rPr>
        <w:t xml:space="preserve">Analysis of </w:t>
      </w:r>
      <w:r w:rsidRPr="00060DAB">
        <w:rPr>
          <w:rFonts w:ascii="Times New Roman" w:hAnsi="Times New Roman" w:cs="Times New Roman"/>
          <w:i/>
          <w:szCs w:val="20"/>
        </w:rPr>
        <w:t>SLFN5</w:t>
      </w:r>
      <w:r w:rsidRPr="00060DAB">
        <w:rPr>
          <w:rFonts w:ascii="Times New Roman" w:hAnsi="Times New Roman" w:cs="Times New Roman"/>
          <w:szCs w:val="20"/>
        </w:rPr>
        <w:t xml:space="preserve">, </w:t>
      </w:r>
      <w:r w:rsidRPr="00060DAB">
        <w:rPr>
          <w:rFonts w:ascii="Times New Roman" w:hAnsi="Times New Roman" w:cs="Times New Roman"/>
          <w:i/>
          <w:szCs w:val="20"/>
        </w:rPr>
        <w:t>SLFN12</w:t>
      </w:r>
      <w:r w:rsidRPr="00060DAB">
        <w:rPr>
          <w:rFonts w:ascii="Times New Roman" w:hAnsi="Times New Roman" w:cs="Times New Roman"/>
          <w:szCs w:val="20"/>
        </w:rPr>
        <w:t xml:space="preserve">, </w:t>
      </w:r>
      <w:r w:rsidRPr="00060DAB">
        <w:rPr>
          <w:rFonts w:ascii="Times New Roman" w:hAnsi="Times New Roman" w:cs="Times New Roman"/>
          <w:i/>
          <w:szCs w:val="20"/>
        </w:rPr>
        <w:t>SLFN13</w:t>
      </w:r>
      <w:r w:rsidRPr="00060DAB">
        <w:rPr>
          <w:rFonts w:ascii="Times New Roman" w:hAnsi="Times New Roman" w:cs="Times New Roman"/>
          <w:szCs w:val="20"/>
        </w:rPr>
        <w:t xml:space="preserve">, and </w:t>
      </w:r>
      <w:r w:rsidRPr="00060DAB">
        <w:rPr>
          <w:rFonts w:ascii="Times New Roman" w:hAnsi="Times New Roman" w:cs="Times New Roman"/>
          <w:i/>
          <w:szCs w:val="20"/>
        </w:rPr>
        <w:t>SLFN14</w:t>
      </w:r>
      <w:r w:rsidRPr="00060DAB">
        <w:rPr>
          <w:rFonts w:ascii="Times New Roman" w:hAnsi="Times New Roman" w:cs="Times New Roman"/>
          <w:szCs w:val="20"/>
        </w:rPr>
        <w:t xml:space="preserve"> mRNA expression levels in tumors (n = 179, red box) and normal tissues (n = 171, gray box) from the TCGA and </w:t>
      </w:r>
      <w:proofErr w:type="spellStart"/>
      <w:r w:rsidRPr="00060DAB">
        <w:rPr>
          <w:rFonts w:ascii="Times New Roman" w:hAnsi="Times New Roman" w:cs="Times New Roman"/>
          <w:szCs w:val="20"/>
        </w:rPr>
        <w:t>GTEx</w:t>
      </w:r>
      <w:proofErr w:type="spellEnd"/>
      <w:r w:rsidRPr="00060DAB">
        <w:rPr>
          <w:rFonts w:ascii="Times New Roman" w:hAnsi="Times New Roman" w:cs="Times New Roman"/>
          <w:szCs w:val="20"/>
        </w:rPr>
        <w:t xml:space="preserve"> databases using GEPIA. Dots represent individual sample data. *</w:t>
      </w:r>
      <w:r>
        <w:rPr>
          <w:rFonts w:ascii="Times New Roman" w:hAnsi="Times New Roman" w:cs="Times New Roman"/>
          <w:i/>
          <w:szCs w:val="20"/>
        </w:rPr>
        <w:t>p</w:t>
      </w:r>
      <w:r w:rsidRPr="00060DAB">
        <w:rPr>
          <w:rFonts w:ascii="Times New Roman" w:hAnsi="Times New Roman" w:cs="Times New Roman"/>
          <w:szCs w:val="20"/>
        </w:rPr>
        <w:t xml:space="preserve"> &lt; 0.05.</w:t>
      </w:r>
      <w:r w:rsidRPr="00060DAB">
        <w:rPr>
          <w:rFonts w:ascii="Times New Roman" w:hAnsi="Times New Roman" w:cs="Times New Roman"/>
          <w:b/>
          <w:bCs/>
          <w:szCs w:val="20"/>
        </w:rPr>
        <w:t xml:space="preserve"> </w:t>
      </w:r>
      <w:r w:rsidRPr="00060DAB">
        <w:rPr>
          <w:rStyle w:val="y2iqfc"/>
          <w:rFonts w:ascii="Times New Roman" w:hAnsi="Times New Roman" w:cs="Times New Roman"/>
          <w:szCs w:val="20"/>
        </w:rPr>
        <w:t xml:space="preserve">An overall survival rate analysis of </w:t>
      </w:r>
      <w:r w:rsidRPr="00060DAB">
        <w:rPr>
          <w:rFonts w:ascii="Times New Roman" w:eastAsiaTheme="majorHAnsi" w:hAnsi="Times New Roman" w:cs="Times New Roman"/>
          <w:szCs w:val="20"/>
        </w:rPr>
        <w:t>PC</w:t>
      </w:r>
      <w:r w:rsidRPr="00060DAB">
        <w:rPr>
          <w:rStyle w:val="y2iqfc"/>
          <w:rFonts w:ascii="Times New Roman" w:hAnsi="Times New Roman" w:cs="Times New Roman"/>
          <w:szCs w:val="20"/>
        </w:rPr>
        <w:t xml:space="preserve"> patients using the TCGA database was conducted. Each dot represents the expression level of </w:t>
      </w:r>
      <w:r w:rsidRPr="00060DAB">
        <w:rPr>
          <w:rFonts w:ascii="Times New Roman" w:hAnsi="Times New Roman" w:cs="Times New Roman"/>
          <w:i/>
          <w:szCs w:val="20"/>
        </w:rPr>
        <w:t>SLFN5</w:t>
      </w:r>
      <w:r w:rsidRPr="00060DAB">
        <w:rPr>
          <w:rFonts w:ascii="Times New Roman" w:hAnsi="Times New Roman" w:cs="Times New Roman"/>
          <w:szCs w:val="20"/>
        </w:rPr>
        <w:t xml:space="preserve">, </w:t>
      </w:r>
      <w:r w:rsidRPr="00060DAB">
        <w:rPr>
          <w:rFonts w:ascii="Times New Roman" w:hAnsi="Times New Roman" w:cs="Times New Roman"/>
          <w:i/>
          <w:szCs w:val="20"/>
        </w:rPr>
        <w:t>SLFN12</w:t>
      </w:r>
      <w:r w:rsidRPr="00060DAB">
        <w:rPr>
          <w:rFonts w:ascii="Times New Roman" w:hAnsi="Times New Roman" w:cs="Times New Roman"/>
          <w:szCs w:val="20"/>
        </w:rPr>
        <w:t xml:space="preserve">, </w:t>
      </w:r>
      <w:r w:rsidRPr="00060DAB">
        <w:rPr>
          <w:rFonts w:ascii="Times New Roman" w:hAnsi="Times New Roman" w:cs="Times New Roman"/>
          <w:i/>
          <w:szCs w:val="20"/>
        </w:rPr>
        <w:t>SLFN13</w:t>
      </w:r>
      <w:r w:rsidRPr="00060DAB">
        <w:rPr>
          <w:rFonts w:ascii="Times New Roman" w:hAnsi="Times New Roman" w:cs="Times New Roman"/>
          <w:szCs w:val="20"/>
        </w:rPr>
        <w:t xml:space="preserve">, and </w:t>
      </w:r>
      <w:r w:rsidRPr="00060DAB">
        <w:rPr>
          <w:rFonts w:ascii="Times New Roman" w:hAnsi="Times New Roman" w:cs="Times New Roman"/>
          <w:i/>
          <w:szCs w:val="20"/>
        </w:rPr>
        <w:t>SLFN14</w:t>
      </w:r>
      <w:r w:rsidRPr="00060DAB">
        <w:rPr>
          <w:rFonts w:ascii="Times New Roman" w:hAnsi="Times New Roman" w:cs="Times New Roman"/>
          <w:szCs w:val="20"/>
        </w:rPr>
        <w:t xml:space="preserve"> </w:t>
      </w:r>
      <w:r w:rsidRPr="00060DAB">
        <w:rPr>
          <w:rStyle w:val="y2iqfc"/>
          <w:rFonts w:ascii="Times New Roman" w:hAnsi="Times New Roman" w:cs="Times New Roman"/>
          <w:szCs w:val="20"/>
        </w:rPr>
        <w:t xml:space="preserve">in one sample. The overall survival rate of </w:t>
      </w:r>
      <w:r w:rsidRPr="00060DAB">
        <w:rPr>
          <w:rFonts w:ascii="Times New Roman" w:eastAsiaTheme="majorHAnsi" w:hAnsi="Times New Roman" w:cs="Times New Roman"/>
          <w:szCs w:val="20"/>
        </w:rPr>
        <w:t>PC</w:t>
      </w:r>
      <w:r w:rsidRPr="00060DAB">
        <w:rPr>
          <w:rStyle w:val="y2iqfc"/>
          <w:rFonts w:ascii="Times New Roman" w:hAnsi="Times New Roman" w:cs="Times New Roman"/>
          <w:szCs w:val="20"/>
        </w:rPr>
        <w:t xml:space="preserve"> patients was analyzed according to the expression levels of </w:t>
      </w:r>
      <w:r w:rsidRPr="00060DAB">
        <w:rPr>
          <w:rFonts w:ascii="Times New Roman" w:hAnsi="Times New Roman" w:cs="Times New Roman"/>
          <w:i/>
          <w:szCs w:val="20"/>
        </w:rPr>
        <w:t>SLFN5</w:t>
      </w:r>
      <w:r w:rsidRPr="00060DAB">
        <w:rPr>
          <w:rFonts w:ascii="Times New Roman" w:hAnsi="Times New Roman" w:cs="Times New Roman"/>
          <w:szCs w:val="20"/>
        </w:rPr>
        <w:t xml:space="preserve">, </w:t>
      </w:r>
      <w:r w:rsidRPr="00060DAB">
        <w:rPr>
          <w:rFonts w:ascii="Times New Roman" w:hAnsi="Times New Roman" w:cs="Times New Roman"/>
          <w:i/>
          <w:szCs w:val="20"/>
        </w:rPr>
        <w:t>SLFN12</w:t>
      </w:r>
      <w:r w:rsidRPr="00060DAB">
        <w:rPr>
          <w:rFonts w:ascii="Times New Roman" w:hAnsi="Times New Roman" w:cs="Times New Roman"/>
          <w:szCs w:val="20"/>
        </w:rPr>
        <w:t xml:space="preserve">, </w:t>
      </w:r>
      <w:r w:rsidRPr="00060DAB">
        <w:rPr>
          <w:rFonts w:ascii="Times New Roman" w:hAnsi="Times New Roman" w:cs="Times New Roman"/>
          <w:i/>
          <w:szCs w:val="20"/>
        </w:rPr>
        <w:t>SLFN13</w:t>
      </w:r>
      <w:r w:rsidRPr="00060DAB">
        <w:rPr>
          <w:rFonts w:ascii="Times New Roman" w:hAnsi="Times New Roman" w:cs="Times New Roman"/>
          <w:szCs w:val="20"/>
        </w:rPr>
        <w:t xml:space="preserve">, and </w:t>
      </w:r>
      <w:r w:rsidRPr="00060DAB">
        <w:rPr>
          <w:rFonts w:ascii="Times New Roman" w:hAnsi="Times New Roman" w:cs="Times New Roman"/>
          <w:i/>
          <w:szCs w:val="20"/>
        </w:rPr>
        <w:t>SLFN14</w:t>
      </w:r>
      <w:r w:rsidRPr="00060DAB">
        <w:rPr>
          <w:rFonts w:ascii="Times New Roman" w:hAnsi="Times New Roman" w:cs="Times New Roman"/>
          <w:szCs w:val="20"/>
        </w:rPr>
        <w:t xml:space="preserve"> </w:t>
      </w:r>
      <w:r w:rsidRPr="00060DAB">
        <w:rPr>
          <w:rStyle w:val="y2iqfc"/>
          <w:rFonts w:ascii="Times New Roman" w:hAnsi="Times New Roman" w:cs="Times New Roman"/>
          <w:szCs w:val="20"/>
        </w:rPr>
        <w:t xml:space="preserve">using the Kaplan-Meier method and log rank test. </w:t>
      </w:r>
      <w:r w:rsidRPr="00060DAB">
        <w:rPr>
          <w:rFonts w:ascii="Times New Roman" w:eastAsiaTheme="majorHAnsi" w:hAnsi="Times New Roman" w:cs="Times New Roman"/>
          <w:sz w:val="24"/>
          <w:szCs w:val="24"/>
        </w:rPr>
        <w:br w:type="page"/>
      </w:r>
    </w:p>
    <w:p w14:paraId="5F0A9745" w14:textId="77777777" w:rsidR="00052541" w:rsidRPr="00060DAB" w:rsidRDefault="00052541" w:rsidP="00052541">
      <w:pPr>
        <w:spacing w:after="60" w:line="240" w:lineRule="auto"/>
        <w:jc w:val="center"/>
        <w:rPr>
          <w:rFonts w:ascii="Times New Roman" w:eastAsiaTheme="majorHAnsi" w:hAnsi="Times New Roman" w:cs="Times New Roman"/>
          <w:sz w:val="24"/>
          <w:szCs w:val="24"/>
        </w:rPr>
      </w:pPr>
      <w:r w:rsidRPr="00501558">
        <w:rPr>
          <w:rFonts w:ascii="Times New Roman" w:eastAsiaTheme="majorHAnsi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C71EA2C" wp14:editId="1931947F">
            <wp:extent cx="4859654" cy="4822166"/>
            <wp:effectExtent l="0" t="0" r="0" b="0"/>
            <wp:docPr id="20" name="그림 20" descr="G:\2017-2023\10. SLFN11\SLFN11 BIOCELL\SLFN11 BIOCELL_re_re_review\SLFN11 figure 원본\슬라이드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2017-2023\10. SLFN11\SLFN11 BIOCELL\SLFN11 BIOCELL_re_re_review\SLFN11 figure 원본\슬라이드7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630"/>
                    <a:stretch/>
                  </pic:blipFill>
                  <pic:spPr bwMode="auto">
                    <a:xfrm>
                      <a:off x="0" y="0"/>
                      <a:ext cx="4860000" cy="4822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5A2D2D" w14:textId="77777777" w:rsidR="00052541" w:rsidRPr="00060DAB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b/>
          <w:szCs w:val="20"/>
        </w:rPr>
      </w:pPr>
      <w:r w:rsidRPr="00060DAB">
        <w:rPr>
          <w:rFonts w:ascii="Times New Roman" w:eastAsiaTheme="majorHAnsi" w:hAnsi="Times New Roman" w:cs="Times New Roman"/>
          <w:b/>
          <w:szCs w:val="20"/>
        </w:rPr>
        <w:t xml:space="preserve">Supplemental Figure 2: </w:t>
      </w:r>
      <w:r w:rsidRPr="00060DAB">
        <w:rPr>
          <w:rFonts w:ascii="Times New Roman" w:hAnsi="Times New Roman" w:cs="Times New Roman"/>
          <w:b/>
          <w:i/>
          <w:szCs w:val="20"/>
        </w:rPr>
        <w:t>SLFN11</w:t>
      </w:r>
      <w:r w:rsidRPr="00060DAB">
        <w:rPr>
          <w:rFonts w:ascii="Times New Roman" w:hAnsi="Times New Roman" w:cs="Times New Roman"/>
          <w:b/>
          <w:szCs w:val="20"/>
        </w:rPr>
        <w:t>-</w:t>
      </w:r>
      <w:r w:rsidRPr="00060DAB">
        <w:rPr>
          <w:rFonts w:ascii="Times New Roman" w:hAnsi="Times New Roman" w:cs="Times New Roman" w:hint="eastAsia"/>
          <w:b/>
          <w:szCs w:val="20"/>
        </w:rPr>
        <w:t>knockdown</w:t>
      </w:r>
      <w:r w:rsidRPr="00060DAB">
        <w:rPr>
          <w:rFonts w:ascii="Times New Roman" w:hAnsi="Times New Roman" w:cs="Times New Roman"/>
          <w:b/>
          <w:szCs w:val="20"/>
        </w:rPr>
        <w:t xml:space="preserve"> PC cells induce cell apoptosis and polyploidy population. </w:t>
      </w:r>
    </w:p>
    <w:p w14:paraId="0283DB89" w14:textId="77777777" w:rsidR="00052541" w:rsidRPr="00060DAB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szCs w:val="20"/>
        </w:rPr>
      </w:pPr>
      <w:r w:rsidRPr="00060DAB">
        <w:rPr>
          <w:rFonts w:ascii="Times New Roman" w:eastAsiaTheme="majorHAnsi" w:hAnsi="Times New Roman" w:cs="Times New Roman"/>
          <w:szCs w:val="20"/>
        </w:rPr>
        <w:t xml:space="preserve">(A) Western blot analysis of total cell lysates harvested 48 hours after transfection of control, </w:t>
      </w:r>
      <w:r w:rsidRPr="00060DAB">
        <w:rPr>
          <w:rFonts w:ascii="Times New Roman" w:eastAsiaTheme="majorHAnsi" w:hAnsi="Times New Roman" w:cs="Times New Roman"/>
          <w:i/>
          <w:szCs w:val="20"/>
        </w:rPr>
        <w:t>SLFN11</w:t>
      </w:r>
      <w:r w:rsidRPr="00060DAB">
        <w:rPr>
          <w:rFonts w:ascii="Times New Roman" w:eastAsiaTheme="majorHAnsi" w:hAnsi="Times New Roman" w:cs="Times New Roman"/>
          <w:szCs w:val="20"/>
        </w:rPr>
        <w:t xml:space="preserve"> siRNA_1, </w:t>
      </w:r>
      <w:r w:rsidRPr="00060DAB">
        <w:rPr>
          <w:rFonts w:ascii="Times New Roman" w:eastAsiaTheme="majorHAnsi" w:hAnsi="Times New Roman" w:cs="Times New Roman"/>
          <w:i/>
          <w:szCs w:val="20"/>
        </w:rPr>
        <w:t>SLFN11</w:t>
      </w:r>
      <w:r w:rsidRPr="00060DAB">
        <w:rPr>
          <w:rFonts w:ascii="Times New Roman" w:eastAsiaTheme="majorHAnsi" w:hAnsi="Times New Roman" w:cs="Times New Roman"/>
          <w:szCs w:val="20"/>
        </w:rPr>
        <w:t xml:space="preserve"> siRNA_2, and </w:t>
      </w:r>
      <w:r w:rsidRPr="00060DAB">
        <w:rPr>
          <w:rFonts w:ascii="Times New Roman" w:eastAsiaTheme="majorHAnsi" w:hAnsi="Times New Roman" w:cs="Times New Roman"/>
          <w:i/>
          <w:szCs w:val="20"/>
        </w:rPr>
        <w:t>SLFN11</w:t>
      </w:r>
      <w:r w:rsidRPr="00060DAB">
        <w:rPr>
          <w:rFonts w:ascii="Times New Roman" w:eastAsiaTheme="majorHAnsi" w:hAnsi="Times New Roman" w:cs="Times New Roman"/>
          <w:szCs w:val="20"/>
        </w:rPr>
        <w:t xml:space="preserve"> siRNA_3 into Panc10.05 cells. Western blotting was performed to assess the protein expression levels of SLFN11 and β-actin.</w:t>
      </w:r>
    </w:p>
    <w:p w14:paraId="1789D57D" w14:textId="77777777" w:rsidR="00052541" w:rsidRPr="00060DAB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szCs w:val="20"/>
        </w:rPr>
      </w:pPr>
      <w:r w:rsidRPr="00060DAB">
        <w:rPr>
          <w:rFonts w:ascii="Times New Roman" w:eastAsiaTheme="majorHAnsi" w:hAnsi="Times New Roman" w:cs="Times New Roman"/>
          <w:szCs w:val="20"/>
        </w:rPr>
        <w:t xml:space="preserve">(B) CCK-8 assays were conducted to assess the proliferation of control and </w:t>
      </w:r>
      <w:r w:rsidRPr="00060DAB">
        <w:rPr>
          <w:rFonts w:ascii="Times New Roman" w:eastAsiaTheme="majorHAnsi" w:hAnsi="Times New Roman" w:cs="Times New Roman"/>
          <w:i/>
          <w:szCs w:val="20"/>
        </w:rPr>
        <w:t>SLFN11</w:t>
      </w:r>
      <w:r w:rsidRPr="00060DAB">
        <w:rPr>
          <w:rFonts w:ascii="Times New Roman" w:eastAsiaTheme="majorHAnsi" w:hAnsi="Times New Roman" w:cs="Times New Roman"/>
          <w:szCs w:val="20"/>
        </w:rPr>
        <w:t>-knockdown PC cells over 0–72 hours. Curves were constructed from biological triplicates, with values expressed as means ± SEMs.</w:t>
      </w:r>
    </w:p>
    <w:p w14:paraId="1DCFD12A" w14:textId="77777777" w:rsidR="00052541" w:rsidRPr="00060DAB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szCs w:val="20"/>
        </w:rPr>
      </w:pPr>
      <w:r w:rsidRPr="00060DAB">
        <w:rPr>
          <w:rFonts w:ascii="Times New Roman" w:eastAsiaTheme="majorHAnsi" w:hAnsi="Times New Roman" w:cs="Times New Roman"/>
          <w:szCs w:val="20"/>
        </w:rPr>
        <w:t xml:space="preserve">(C) Panc10.05 cells were transfected with control or </w:t>
      </w:r>
      <w:r w:rsidRPr="00060DAB">
        <w:rPr>
          <w:rFonts w:ascii="Times New Roman" w:eastAsiaTheme="majorHAnsi" w:hAnsi="Times New Roman" w:cs="Times New Roman"/>
          <w:i/>
          <w:szCs w:val="20"/>
        </w:rPr>
        <w:t>SLFN11</w:t>
      </w:r>
      <w:r w:rsidRPr="00060DAB">
        <w:rPr>
          <w:rFonts w:ascii="Times New Roman" w:eastAsiaTheme="majorHAnsi" w:hAnsi="Times New Roman" w:cs="Times New Roman"/>
          <w:szCs w:val="20"/>
        </w:rPr>
        <w:t xml:space="preserve"> siRNA and subjected to FACS analysis at 72 hours. The FACS plots and data are representative of at least two independent experiments.</w:t>
      </w:r>
    </w:p>
    <w:p w14:paraId="4897FDF1" w14:textId="77777777" w:rsidR="00052541" w:rsidRPr="00060DAB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szCs w:val="20"/>
        </w:rPr>
      </w:pPr>
      <w:r w:rsidRPr="00060DAB">
        <w:rPr>
          <w:rFonts w:ascii="Times New Roman" w:eastAsiaTheme="majorHAnsi" w:hAnsi="Times New Roman" w:cs="Times New Roman"/>
          <w:szCs w:val="20"/>
        </w:rPr>
        <w:t>(D) Percentages of cells in sub-G1 (apoptosis, red), G0/G1 (blue), G2/M (orange), S (green), and polyploidy (purple) phases.</w:t>
      </w:r>
    </w:p>
    <w:p w14:paraId="09F5DD8C" w14:textId="77777777" w:rsidR="00052541" w:rsidRPr="00060DAB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sz w:val="24"/>
          <w:szCs w:val="24"/>
        </w:rPr>
      </w:pPr>
      <w:r w:rsidRPr="00060DAB">
        <w:rPr>
          <w:rFonts w:ascii="Times New Roman" w:eastAsiaTheme="majorHAnsi" w:hAnsi="Times New Roman" w:cs="Times New Roman"/>
          <w:sz w:val="24"/>
          <w:szCs w:val="24"/>
        </w:rPr>
        <w:br w:type="page"/>
      </w:r>
    </w:p>
    <w:p w14:paraId="3840F2EA" w14:textId="77777777" w:rsidR="00052541" w:rsidRPr="00060DAB" w:rsidRDefault="00052541" w:rsidP="00052541">
      <w:pPr>
        <w:spacing w:after="60" w:line="240" w:lineRule="auto"/>
        <w:jc w:val="center"/>
        <w:rPr>
          <w:rFonts w:ascii="Times New Roman" w:eastAsiaTheme="majorHAnsi" w:hAnsi="Times New Roman" w:cs="Times New Roman"/>
          <w:sz w:val="24"/>
          <w:szCs w:val="24"/>
        </w:rPr>
      </w:pPr>
      <w:r w:rsidRPr="0083414E">
        <w:rPr>
          <w:rFonts w:ascii="Times New Roman" w:eastAsiaTheme="majorHAnsi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E1A7EF1" wp14:editId="79849CDE">
            <wp:extent cx="4859654" cy="5796951"/>
            <wp:effectExtent l="0" t="0" r="0" b="0"/>
            <wp:docPr id="21" name="그림 21" descr="G:\2017-2023\10. SLFN11\SLFN11 BIOCELL\SLFN11 BIOCELL_re_re_review\SLFN11 figure 원본\슬라이드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2017-2023\10. SLFN11\SLFN11 BIOCELL\SLFN11 BIOCELL_re_re_review\SLFN11 figure 원본\슬라이드8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596"/>
                    <a:stretch/>
                  </pic:blipFill>
                  <pic:spPr bwMode="auto">
                    <a:xfrm>
                      <a:off x="0" y="0"/>
                      <a:ext cx="4860000" cy="5797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B3D78C" w14:textId="77777777" w:rsidR="00052541" w:rsidRPr="00060DAB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b/>
          <w:szCs w:val="20"/>
        </w:rPr>
      </w:pPr>
      <w:r w:rsidRPr="00060DAB">
        <w:rPr>
          <w:rFonts w:ascii="Times New Roman" w:eastAsiaTheme="majorHAnsi" w:hAnsi="Times New Roman" w:cs="Times New Roman"/>
          <w:b/>
          <w:szCs w:val="20"/>
        </w:rPr>
        <w:t>Supplemental Figure 3: Quantification of western blot results from thymidine double block-synchronized cells.</w:t>
      </w:r>
    </w:p>
    <w:p w14:paraId="4460D5D9" w14:textId="77777777" w:rsidR="00052541" w:rsidRPr="001B7C23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szCs w:val="20"/>
        </w:rPr>
      </w:pPr>
      <w:r w:rsidRPr="00060DAB">
        <w:rPr>
          <w:rFonts w:ascii="Times New Roman" w:eastAsiaTheme="majorHAnsi" w:hAnsi="Times New Roman" w:cs="Times New Roman"/>
          <w:szCs w:val="20"/>
        </w:rPr>
        <w:t>Western blot analysis was performed on thymidine double block-synchronized cells to assess the expression levels of SLFN11, CDC6, and cyclin A. The protein bands were quantified using ImageJ software</w:t>
      </w:r>
      <w:r>
        <w:rPr>
          <w:rFonts w:ascii="Times New Roman" w:eastAsiaTheme="majorHAnsi" w:hAnsi="Times New Roman" w:cs="Times New Roman"/>
          <w:szCs w:val="20"/>
        </w:rPr>
        <w:t xml:space="preserve"> (</w:t>
      </w:r>
      <w:r w:rsidRPr="00060DAB">
        <w:rPr>
          <w:rStyle w:val="y2iqfc"/>
          <w:rFonts w:ascii="Times New Roman" w:hAnsi="Times New Roman" w:cs="Times New Roman"/>
          <w:szCs w:val="20"/>
        </w:rPr>
        <w:t>version 1.50i</w:t>
      </w:r>
      <w:r>
        <w:rPr>
          <w:rStyle w:val="y2iqfc"/>
          <w:rFonts w:ascii="Times New Roman" w:hAnsi="Times New Roman" w:cs="Times New Roman"/>
          <w:szCs w:val="20"/>
        </w:rPr>
        <w:t>)</w:t>
      </w:r>
      <w:r w:rsidRPr="00060DAB">
        <w:rPr>
          <w:rFonts w:ascii="Times New Roman" w:eastAsiaTheme="majorHAnsi" w:hAnsi="Times New Roman" w:cs="Times New Roman"/>
          <w:szCs w:val="20"/>
        </w:rPr>
        <w:t>, and the relative expression lev</w:t>
      </w:r>
      <w:r>
        <w:rPr>
          <w:rFonts w:ascii="Times New Roman" w:eastAsiaTheme="majorHAnsi" w:hAnsi="Times New Roman" w:cs="Times New Roman"/>
          <w:szCs w:val="20"/>
        </w:rPr>
        <w:t>els were normalized to β-actin</w:t>
      </w:r>
      <w:r w:rsidRPr="00060DAB">
        <w:rPr>
          <w:rFonts w:ascii="Times New Roman" w:eastAsiaTheme="majorHAnsi" w:hAnsi="Times New Roman" w:cs="Times New Roman"/>
          <w:szCs w:val="20"/>
        </w:rPr>
        <w:t>. The bar graphs represent the quantified data, showing the relative protein expression levels of SLFN11, CDC6, and cyclin A in synchronized cells.</w:t>
      </w:r>
      <w:r w:rsidRPr="00060DAB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51F8C451" w14:textId="77777777" w:rsidR="00052541" w:rsidRPr="00060DAB" w:rsidRDefault="00052541" w:rsidP="00052541">
      <w:pPr>
        <w:spacing w:after="60" w:line="240" w:lineRule="auto"/>
        <w:jc w:val="center"/>
        <w:rPr>
          <w:rFonts w:ascii="Times New Roman" w:eastAsiaTheme="majorHAnsi" w:hAnsi="Times New Roman" w:cs="Times New Roman"/>
          <w:b/>
          <w:szCs w:val="20"/>
        </w:rPr>
      </w:pPr>
      <w:r w:rsidRPr="000F3519">
        <w:rPr>
          <w:rFonts w:ascii="Times New Roman" w:eastAsiaTheme="majorHAnsi" w:hAnsi="Times New Roman" w:cs="Times New Roman"/>
          <w:b/>
          <w:noProof/>
          <w:szCs w:val="20"/>
        </w:rPr>
        <w:lastRenderedPageBreak/>
        <w:drawing>
          <wp:inline distT="0" distB="0" distL="0" distR="0" wp14:anchorId="6F82EF20" wp14:editId="0D1C8FD8">
            <wp:extent cx="4860000" cy="6484446"/>
            <wp:effectExtent l="0" t="0" r="0" b="0"/>
            <wp:docPr id="22" name="그림 22" descr="G:\2017-2023\10. SLFN11\SLFN11 BIOCELL\SLFN11 BIOCELL_re_re_review\SLFN11 figure 원본\슬라이드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2017-2023\10. SLFN11\SLFN11 BIOCELL\SLFN11 BIOCELL_re_re_review\SLFN11 figure 원본\슬라이드9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000" cy="6484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903323" w14:textId="77777777" w:rsidR="00052541" w:rsidRPr="00060DAB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b/>
          <w:szCs w:val="20"/>
        </w:rPr>
      </w:pPr>
      <w:r w:rsidRPr="00060DAB">
        <w:rPr>
          <w:rFonts w:ascii="Times New Roman" w:eastAsiaTheme="majorHAnsi" w:hAnsi="Times New Roman" w:cs="Times New Roman"/>
          <w:b/>
          <w:szCs w:val="20"/>
        </w:rPr>
        <w:t xml:space="preserve">Supplemental Figure 4: </w:t>
      </w:r>
      <w:r w:rsidRPr="00060DAB">
        <w:rPr>
          <w:rFonts w:ascii="Times New Roman" w:eastAsiaTheme="majorHAnsi" w:hAnsi="Times New Roman" w:cs="Times New Roman"/>
          <w:b/>
          <w:i/>
          <w:szCs w:val="20"/>
        </w:rPr>
        <w:t>SLFN11</w:t>
      </w:r>
      <w:r w:rsidRPr="00060DAB">
        <w:rPr>
          <w:rFonts w:ascii="Times New Roman" w:eastAsiaTheme="majorHAnsi" w:hAnsi="Times New Roman" w:cs="Times New Roman"/>
          <w:b/>
          <w:szCs w:val="20"/>
        </w:rPr>
        <w:t xml:space="preserve"> expression was correlated with cisplatin and </w:t>
      </w:r>
      <w:proofErr w:type="spellStart"/>
      <w:r w:rsidRPr="00060DAB">
        <w:rPr>
          <w:rFonts w:ascii="Times New Roman" w:eastAsiaTheme="majorHAnsi" w:hAnsi="Times New Roman" w:cs="Times New Roman"/>
          <w:b/>
          <w:szCs w:val="20"/>
        </w:rPr>
        <w:t>olaparib</w:t>
      </w:r>
      <w:proofErr w:type="spellEnd"/>
      <w:r w:rsidRPr="00060DAB">
        <w:rPr>
          <w:rFonts w:ascii="Times New Roman" w:eastAsiaTheme="majorHAnsi" w:hAnsi="Times New Roman" w:cs="Times New Roman"/>
          <w:b/>
          <w:szCs w:val="20"/>
        </w:rPr>
        <w:t xml:space="preserve"> drug sensitivity.</w:t>
      </w:r>
    </w:p>
    <w:p w14:paraId="6A06AC24" w14:textId="77777777" w:rsidR="00052541" w:rsidRPr="00060DAB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szCs w:val="20"/>
        </w:rPr>
      </w:pPr>
      <w:r w:rsidRPr="00060DAB">
        <w:rPr>
          <w:rFonts w:ascii="Times New Roman" w:eastAsiaTheme="majorHAnsi" w:hAnsi="Times New Roman" w:cs="Times New Roman"/>
          <w:szCs w:val="20"/>
        </w:rPr>
        <w:t>(A)</w:t>
      </w:r>
      <w:r w:rsidRPr="00060DAB">
        <w:rPr>
          <w:rFonts w:ascii="Times New Roman" w:hAnsi="Times New Roman" w:cs="Times New Roman"/>
          <w:szCs w:val="20"/>
        </w:rPr>
        <w:t xml:space="preserve"> </w:t>
      </w:r>
      <w:r w:rsidRPr="00060DAB">
        <w:rPr>
          <w:rFonts w:ascii="Times New Roman" w:eastAsiaTheme="majorHAnsi" w:hAnsi="Times New Roman" w:cs="Times New Roman"/>
          <w:szCs w:val="20"/>
        </w:rPr>
        <w:t>Correlation analysis between gemcitabine sensitivity (</w:t>
      </w:r>
      <w:r>
        <w:rPr>
          <w:rFonts w:ascii="Times New Roman" w:eastAsiaTheme="majorHAnsi" w:hAnsi="Times New Roman" w:cs="Times New Roman"/>
          <w:szCs w:val="20"/>
        </w:rPr>
        <w:t>GDSC</w:t>
      </w:r>
      <w:r w:rsidRPr="00060DAB">
        <w:rPr>
          <w:rFonts w:ascii="Times New Roman" w:eastAsiaTheme="majorHAnsi" w:hAnsi="Times New Roman" w:cs="Times New Roman"/>
          <w:szCs w:val="20"/>
        </w:rPr>
        <w:t xml:space="preserve"> database) and </w:t>
      </w:r>
      <w:r w:rsidRPr="00060DAB">
        <w:rPr>
          <w:rFonts w:ascii="Times New Roman" w:eastAsiaTheme="majorHAnsi" w:hAnsi="Times New Roman" w:cs="Times New Roman"/>
          <w:i/>
          <w:szCs w:val="20"/>
        </w:rPr>
        <w:t>SLFN11</w:t>
      </w:r>
      <w:r w:rsidRPr="00060DAB">
        <w:rPr>
          <w:rFonts w:ascii="Times New Roman" w:eastAsiaTheme="majorHAnsi" w:hAnsi="Times New Roman" w:cs="Times New Roman"/>
          <w:szCs w:val="20"/>
        </w:rPr>
        <w:t xml:space="preserve"> mRNA expression (CCLE database) across various tissues. </w:t>
      </w:r>
      <w:r w:rsidRPr="00060DAB">
        <w:rPr>
          <w:rFonts w:ascii="Times New Roman" w:eastAsiaTheme="majorHAnsi" w:hAnsi="Times New Roman" w:cs="Times New Roman"/>
          <w:i/>
          <w:szCs w:val="20"/>
        </w:rPr>
        <w:t>r</w:t>
      </w:r>
      <w:r w:rsidRPr="00060DAB">
        <w:rPr>
          <w:rFonts w:ascii="Times New Roman" w:eastAsiaTheme="majorHAnsi" w:hAnsi="Times New Roman" w:cs="Times New Roman"/>
          <w:szCs w:val="20"/>
        </w:rPr>
        <w:t xml:space="preserve"> = 0.29,</w:t>
      </w:r>
      <w:r w:rsidRPr="00060DAB">
        <w:rPr>
          <w:rFonts w:ascii="Times New Roman" w:eastAsiaTheme="majorHAnsi" w:hAnsi="Times New Roman" w:cs="Times New Roman"/>
          <w:i/>
          <w:szCs w:val="20"/>
        </w:rPr>
        <w:t xml:space="preserve"> p </w:t>
      </w:r>
      <w:r>
        <w:rPr>
          <w:rFonts w:ascii="Times New Roman" w:eastAsiaTheme="majorHAnsi" w:hAnsi="Times New Roman" w:cs="Times New Roman"/>
          <w:szCs w:val="20"/>
        </w:rPr>
        <w:t>=</w:t>
      </w:r>
      <w:r w:rsidRPr="00060DAB">
        <w:rPr>
          <w:rFonts w:ascii="Times New Roman" w:eastAsiaTheme="majorHAnsi" w:hAnsi="Times New Roman" w:cs="Times New Roman"/>
          <w:szCs w:val="20"/>
        </w:rPr>
        <w:t xml:space="preserve"> </w:t>
      </w:r>
      <w:r>
        <w:rPr>
          <w:rFonts w:ascii="Times New Roman" w:eastAsia="Malgun Gothic" w:hAnsi="Times New Roman" w:cs="Times New Roman"/>
          <w:iCs/>
          <w:spacing w:val="-8"/>
          <w:kern w:val="0"/>
        </w:rPr>
        <w:t>1.3</w:t>
      </w:r>
      <w:r w:rsidRPr="00060DAB">
        <w:rPr>
          <w:rFonts w:ascii="Times New Roman" w:eastAsia="Malgun Gothic" w:hAnsi="Times New Roman" w:cs="Times New Roman"/>
          <w:iCs/>
          <w:spacing w:val="-8"/>
          <w:kern w:val="0"/>
        </w:rPr>
        <w:t xml:space="preserve"> × 10</w:t>
      </w:r>
      <w:r>
        <w:rPr>
          <w:rFonts w:ascii="Times New Roman" w:eastAsia="MS Gothic" w:hAnsi="Times New Roman" w:cs="Times New Roman"/>
          <w:iCs/>
          <w:spacing w:val="-8"/>
          <w:kern w:val="0"/>
        </w:rPr>
        <w:t>⁻</w:t>
      </w:r>
      <w:r w:rsidRPr="00D634DB">
        <w:rPr>
          <w:rFonts w:ascii="Times New Roman" w:eastAsia="MS Gothic" w:hAnsi="Times New Roman" w:cs="Times New Roman"/>
          <w:iCs/>
          <w:spacing w:val="-8"/>
          <w:kern w:val="0"/>
          <w:vertAlign w:val="superscript"/>
        </w:rPr>
        <w:t>13</w:t>
      </w:r>
      <w:r w:rsidRPr="00060DAB">
        <w:rPr>
          <w:rFonts w:ascii="Times New Roman" w:eastAsiaTheme="majorHAnsi" w:hAnsi="Times New Roman" w:cs="Times New Roman"/>
          <w:szCs w:val="20"/>
        </w:rPr>
        <w:t>.</w:t>
      </w:r>
    </w:p>
    <w:p w14:paraId="1D06C689" w14:textId="77777777" w:rsidR="00052541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szCs w:val="20"/>
        </w:rPr>
      </w:pPr>
      <w:r w:rsidRPr="00060DAB">
        <w:rPr>
          <w:rFonts w:ascii="Times New Roman" w:eastAsiaTheme="majorHAnsi" w:hAnsi="Times New Roman" w:cs="Times New Roman"/>
          <w:szCs w:val="20"/>
        </w:rPr>
        <w:t>(B)</w:t>
      </w:r>
      <w:r w:rsidRPr="00060DAB">
        <w:rPr>
          <w:rFonts w:ascii="Times New Roman" w:hAnsi="Times New Roman" w:cs="Times New Roman"/>
          <w:szCs w:val="20"/>
        </w:rPr>
        <w:t xml:space="preserve"> </w:t>
      </w:r>
      <w:r w:rsidRPr="00060DAB">
        <w:rPr>
          <w:rFonts w:ascii="Times New Roman" w:eastAsiaTheme="majorHAnsi" w:hAnsi="Times New Roman" w:cs="Times New Roman"/>
          <w:szCs w:val="20"/>
        </w:rPr>
        <w:t>Correlation analysis between gemcitabine sensitivity (</w:t>
      </w:r>
      <w:r>
        <w:rPr>
          <w:rFonts w:ascii="Times New Roman" w:eastAsiaTheme="majorHAnsi" w:hAnsi="Times New Roman" w:cs="Times New Roman"/>
          <w:szCs w:val="20"/>
        </w:rPr>
        <w:t>NCI-60</w:t>
      </w:r>
      <w:r w:rsidRPr="00060DAB">
        <w:rPr>
          <w:rFonts w:ascii="Times New Roman" w:eastAsiaTheme="majorHAnsi" w:hAnsi="Times New Roman" w:cs="Times New Roman"/>
          <w:szCs w:val="20"/>
        </w:rPr>
        <w:t xml:space="preserve"> database) and </w:t>
      </w:r>
      <w:r w:rsidRPr="00060DAB">
        <w:rPr>
          <w:rFonts w:ascii="Times New Roman" w:eastAsiaTheme="majorHAnsi" w:hAnsi="Times New Roman" w:cs="Times New Roman"/>
          <w:i/>
          <w:szCs w:val="20"/>
        </w:rPr>
        <w:t>SLFN11</w:t>
      </w:r>
      <w:r w:rsidRPr="00060DAB">
        <w:rPr>
          <w:rFonts w:ascii="Times New Roman" w:eastAsiaTheme="majorHAnsi" w:hAnsi="Times New Roman" w:cs="Times New Roman"/>
          <w:szCs w:val="20"/>
        </w:rPr>
        <w:t xml:space="preserve"> mRNA expression (</w:t>
      </w:r>
      <w:r>
        <w:rPr>
          <w:rFonts w:ascii="Times New Roman" w:eastAsiaTheme="majorHAnsi" w:hAnsi="Times New Roman" w:cs="Times New Roman"/>
          <w:szCs w:val="20"/>
        </w:rPr>
        <w:t>NCI-60</w:t>
      </w:r>
      <w:r w:rsidRPr="00060DAB">
        <w:rPr>
          <w:rFonts w:ascii="Times New Roman" w:eastAsiaTheme="majorHAnsi" w:hAnsi="Times New Roman" w:cs="Times New Roman"/>
          <w:szCs w:val="20"/>
        </w:rPr>
        <w:t xml:space="preserve"> database) in various PC cell lines. Pearson coefficient correlation </w:t>
      </w:r>
      <w:r w:rsidRPr="00060DAB">
        <w:rPr>
          <w:rFonts w:ascii="Times New Roman" w:eastAsiaTheme="majorHAnsi" w:hAnsi="Times New Roman" w:cs="Times New Roman"/>
          <w:i/>
          <w:szCs w:val="20"/>
        </w:rPr>
        <w:t>r</w:t>
      </w:r>
      <w:r w:rsidRPr="00060DAB">
        <w:rPr>
          <w:rFonts w:ascii="Times New Roman" w:eastAsiaTheme="majorHAnsi" w:hAnsi="Times New Roman" w:cs="Times New Roman"/>
          <w:szCs w:val="20"/>
        </w:rPr>
        <w:t xml:space="preserve"> = 0.69,</w:t>
      </w:r>
      <w:r w:rsidRPr="00060DAB">
        <w:rPr>
          <w:rFonts w:ascii="Times New Roman" w:eastAsiaTheme="majorHAnsi" w:hAnsi="Times New Roman" w:cs="Times New Roman"/>
          <w:i/>
          <w:szCs w:val="20"/>
        </w:rPr>
        <w:t xml:space="preserve"> p </w:t>
      </w:r>
      <w:r>
        <w:rPr>
          <w:rFonts w:ascii="Times New Roman" w:eastAsiaTheme="majorHAnsi" w:hAnsi="Times New Roman" w:cs="Times New Roman"/>
          <w:szCs w:val="20"/>
        </w:rPr>
        <w:t>=</w:t>
      </w:r>
      <w:r w:rsidRPr="00060DAB">
        <w:rPr>
          <w:rFonts w:ascii="Times New Roman" w:eastAsiaTheme="majorHAnsi" w:hAnsi="Times New Roman" w:cs="Times New Roman"/>
          <w:szCs w:val="20"/>
        </w:rPr>
        <w:t xml:space="preserve"> </w:t>
      </w:r>
      <w:r>
        <w:rPr>
          <w:rFonts w:ascii="Times New Roman" w:eastAsia="Malgun Gothic" w:hAnsi="Times New Roman" w:cs="Times New Roman"/>
          <w:iCs/>
          <w:spacing w:val="-8"/>
          <w:kern w:val="0"/>
        </w:rPr>
        <w:t>7.8</w:t>
      </w:r>
      <w:r w:rsidRPr="00060DAB">
        <w:rPr>
          <w:rFonts w:ascii="Times New Roman" w:eastAsia="Malgun Gothic" w:hAnsi="Times New Roman" w:cs="Times New Roman"/>
          <w:iCs/>
          <w:spacing w:val="-8"/>
          <w:kern w:val="0"/>
        </w:rPr>
        <w:t xml:space="preserve"> × 10</w:t>
      </w:r>
      <w:r>
        <w:rPr>
          <w:rFonts w:ascii="Times New Roman" w:eastAsia="MS Gothic" w:hAnsi="Times New Roman" w:cs="Times New Roman"/>
          <w:iCs/>
          <w:spacing w:val="-8"/>
          <w:kern w:val="0"/>
        </w:rPr>
        <w:t>⁻</w:t>
      </w:r>
      <w:r w:rsidRPr="00D634DB">
        <w:rPr>
          <w:rFonts w:ascii="Times New Roman" w:eastAsia="MS Gothic" w:hAnsi="Times New Roman" w:cs="Times New Roman"/>
          <w:iCs/>
          <w:spacing w:val="-8"/>
          <w:kern w:val="0"/>
          <w:vertAlign w:val="superscript"/>
        </w:rPr>
        <w:t>10</w:t>
      </w:r>
      <w:r w:rsidRPr="00060DAB">
        <w:rPr>
          <w:rFonts w:ascii="Times New Roman" w:eastAsiaTheme="majorHAnsi" w:hAnsi="Times New Roman" w:cs="Times New Roman"/>
          <w:szCs w:val="20"/>
        </w:rPr>
        <w:t>.</w:t>
      </w:r>
    </w:p>
    <w:p w14:paraId="27FB2700" w14:textId="77777777" w:rsidR="00052541" w:rsidRPr="00060DAB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szCs w:val="20"/>
        </w:rPr>
      </w:pPr>
      <w:r w:rsidRPr="00060DAB">
        <w:rPr>
          <w:rFonts w:ascii="Times New Roman" w:eastAsiaTheme="majorHAnsi" w:hAnsi="Times New Roman" w:cs="Times New Roman"/>
          <w:szCs w:val="20"/>
        </w:rPr>
        <w:t>(</w:t>
      </w:r>
      <w:r>
        <w:rPr>
          <w:rFonts w:ascii="Times New Roman" w:eastAsiaTheme="majorHAnsi" w:hAnsi="Times New Roman" w:cs="Times New Roman"/>
          <w:szCs w:val="20"/>
        </w:rPr>
        <w:t>C</w:t>
      </w:r>
      <w:r w:rsidRPr="00060DAB">
        <w:rPr>
          <w:rFonts w:ascii="Times New Roman" w:eastAsiaTheme="majorHAnsi" w:hAnsi="Times New Roman" w:cs="Times New Roman"/>
          <w:szCs w:val="20"/>
        </w:rPr>
        <w:t xml:space="preserve">) Western blot analysis of total cell lysates harvested after WT and </w:t>
      </w:r>
      <w:r w:rsidRPr="00060DAB">
        <w:rPr>
          <w:rFonts w:ascii="Times New Roman" w:eastAsiaTheme="majorHAnsi" w:hAnsi="Times New Roman" w:cs="Times New Roman"/>
          <w:i/>
          <w:szCs w:val="20"/>
        </w:rPr>
        <w:t>SLFN11</w:t>
      </w:r>
      <w:r w:rsidRPr="00060DAB">
        <w:rPr>
          <w:rFonts w:ascii="Times New Roman" w:eastAsiaTheme="majorHAnsi" w:hAnsi="Times New Roman" w:cs="Times New Roman"/>
          <w:szCs w:val="20"/>
        </w:rPr>
        <w:t>-KO transfection into PANC-1 and Panc10.05 cells, followed by selection with puromycin. Western blotting was performed to assess the protein expression levels of SLFN11 and β-actin.</w:t>
      </w:r>
    </w:p>
    <w:p w14:paraId="6913EB70" w14:textId="77777777" w:rsidR="00052541" w:rsidRPr="00060DAB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szCs w:val="20"/>
        </w:rPr>
      </w:pPr>
      <w:r w:rsidRPr="00060DAB">
        <w:rPr>
          <w:rFonts w:ascii="Times New Roman" w:eastAsiaTheme="majorHAnsi" w:hAnsi="Times New Roman" w:cs="Times New Roman"/>
          <w:szCs w:val="20"/>
        </w:rPr>
        <w:t>(</w:t>
      </w:r>
      <w:r>
        <w:rPr>
          <w:rFonts w:ascii="Times New Roman" w:eastAsiaTheme="majorHAnsi" w:hAnsi="Times New Roman" w:cs="Times New Roman"/>
          <w:szCs w:val="20"/>
        </w:rPr>
        <w:t>D</w:t>
      </w:r>
      <w:r w:rsidRPr="00060DAB">
        <w:rPr>
          <w:rFonts w:ascii="Times New Roman" w:eastAsiaTheme="majorHAnsi" w:hAnsi="Times New Roman" w:cs="Times New Roman"/>
          <w:szCs w:val="20"/>
        </w:rPr>
        <w:t xml:space="preserve">) WT and </w:t>
      </w:r>
      <w:r w:rsidRPr="00060DAB">
        <w:rPr>
          <w:rFonts w:ascii="Times New Roman" w:eastAsiaTheme="majorHAnsi" w:hAnsi="Times New Roman" w:cs="Times New Roman"/>
          <w:i/>
          <w:szCs w:val="20"/>
        </w:rPr>
        <w:t>SLFN11</w:t>
      </w:r>
      <w:r w:rsidRPr="00060DAB">
        <w:rPr>
          <w:rFonts w:ascii="Times New Roman" w:eastAsiaTheme="majorHAnsi" w:hAnsi="Times New Roman" w:cs="Times New Roman"/>
          <w:szCs w:val="20"/>
        </w:rPr>
        <w:t>-KO Panc10.05 cells were visualized by immunofluorescence staining for GFP (SLFN11, green) and DNA (blue).</w:t>
      </w:r>
    </w:p>
    <w:p w14:paraId="3C3C099F" w14:textId="77777777" w:rsidR="00052541" w:rsidRPr="00060DAB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szCs w:val="20"/>
        </w:rPr>
      </w:pPr>
      <w:r w:rsidRPr="00060DAB">
        <w:rPr>
          <w:rFonts w:ascii="Times New Roman" w:eastAsiaTheme="majorHAnsi" w:hAnsi="Times New Roman" w:cs="Times New Roman"/>
          <w:szCs w:val="20"/>
        </w:rPr>
        <w:t>(</w:t>
      </w:r>
      <w:r>
        <w:rPr>
          <w:rFonts w:ascii="Times New Roman" w:eastAsiaTheme="majorHAnsi" w:hAnsi="Times New Roman" w:cs="Times New Roman"/>
          <w:szCs w:val="20"/>
        </w:rPr>
        <w:t>E</w:t>
      </w:r>
      <w:r w:rsidRPr="00060DAB">
        <w:rPr>
          <w:rFonts w:ascii="Times New Roman" w:eastAsiaTheme="majorHAnsi" w:hAnsi="Times New Roman" w:cs="Times New Roman"/>
          <w:szCs w:val="20"/>
        </w:rPr>
        <w:t>)</w:t>
      </w:r>
      <w:r w:rsidRPr="00060DAB">
        <w:rPr>
          <w:rFonts w:ascii="Times New Roman" w:hAnsi="Times New Roman" w:cs="Times New Roman"/>
          <w:szCs w:val="20"/>
        </w:rPr>
        <w:t xml:space="preserve"> </w:t>
      </w:r>
      <w:r w:rsidRPr="00060DAB">
        <w:rPr>
          <w:rFonts w:ascii="Times New Roman" w:eastAsiaTheme="majorHAnsi" w:hAnsi="Times New Roman" w:cs="Times New Roman"/>
          <w:szCs w:val="20"/>
        </w:rPr>
        <w:t>Correlation analysis between cisplatin</w:t>
      </w:r>
      <w:r>
        <w:rPr>
          <w:rFonts w:ascii="Times New Roman" w:eastAsiaTheme="majorHAnsi" w:hAnsi="Times New Roman" w:cs="Times New Roman"/>
          <w:szCs w:val="20"/>
        </w:rPr>
        <w:t xml:space="preserve"> </w:t>
      </w:r>
      <w:r w:rsidRPr="00060DAB">
        <w:rPr>
          <w:rFonts w:ascii="Times New Roman" w:eastAsiaTheme="majorHAnsi" w:hAnsi="Times New Roman" w:cs="Times New Roman"/>
          <w:szCs w:val="20"/>
        </w:rPr>
        <w:t xml:space="preserve">drug sensitivity (GDSC database) and </w:t>
      </w:r>
      <w:r w:rsidRPr="00060DAB">
        <w:rPr>
          <w:rFonts w:ascii="Times New Roman" w:eastAsiaTheme="majorHAnsi" w:hAnsi="Times New Roman" w:cs="Times New Roman"/>
          <w:i/>
          <w:szCs w:val="20"/>
        </w:rPr>
        <w:t>SLFN11</w:t>
      </w:r>
      <w:r w:rsidRPr="00060DAB">
        <w:rPr>
          <w:rFonts w:ascii="Times New Roman" w:eastAsiaTheme="majorHAnsi" w:hAnsi="Times New Roman" w:cs="Times New Roman"/>
          <w:szCs w:val="20"/>
        </w:rPr>
        <w:t xml:space="preserve"> </w:t>
      </w:r>
      <w:r w:rsidRPr="00060DAB">
        <w:rPr>
          <w:rFonts w:ascii="Times New Roman" w:eastAsiaTheme="majorHAnsi" w:hAnsi="Times New Roman" w:cs="Times New Roman"/>
          <w:szCs w:val="20"/>
        </w:rPr>
        <w:lastRenderedPageBreak/>
        <w:t xml:space="preserve">mRNA expression (CCLE database) across various tissues. Pearson coefficient correlation </w:t>
      </w:r>
      <w:r w:rsidRPr="00060DAB">
        <w:rPr>
          <w:rFonts w:ascii="Times New Roman" w:eastAsiaTheme="majorHAnsi" w:hAnsi="Times New Roman" w:cs="Times New Roman"/>
          <w:i/>
          <w:szCs w:val="20"/>
        </w:rPr>
        <w:t>r</w:t>
      </w:r>
      <w:r w:rsidRPr="00060DAB">
        <w:rPr>
          <w:rFonts w:ascii="Times New Roman" w:eastAsiaTheme="majorHAnsi" w:hAnsi="Times New Roman" w:cs="Times New Roman"/>
          <w:szCs w:val="20"/>
        </w:rPr>
        <w:t xml:space="preserve"> = 0.34,</w:t>
      </w:r>
      <w:r w:rsidRPr="00060DAB">
        <w:rPr>
          <w:rFonts w:ascii="Times New Roman" w:eastAsiaTheme="majorHAnsi" w:hAnsi="Times New Roman" w:cs="Times New Roman"/>
          <w:i/>
          <w:szCs w:val="20"/>
        </w:rPr>
        <w:t xml:space="preserve"> p </w:t>
      </w:r>
      <w:r>
        <w:rPr>
          <w:rFonts w:ascii="Times New Roman" w:eastAsiaTheme="majorHAnsi" w:hAnsi="Times New Roman" w:cs="Times New Roman"/>
          <w:szCs w:val="20"/>
        </w:rPr>
        <w:t>=</w:t>
      </w:r>
      <w:r w:rsidRPr="00060DAB">
        <w:rPr>
          <w:rFonts w:ascii="Times New Roman" w:eastAsiaTheme="majorHAnsi" w:hAnsi="Times New Roman" w:cs="Times New Roman"/>
          <w:szCs w:val="20"/>
        </w:rPr>
        <w:t xml:space="preserve"> </w:t>
      </w:r>
      <w:r>
        <w:rPr>
          <w:rFonts w:ascii="Times New Roman" w:eastAsia="Malgun Gothic" w:hAnsi="Times New Roman" w:cs="Times New Roman"/>
          <w:iCs/>
          <w:spacing w:val="-8"/>
          <w:kern w:val="0"/>
        </w:rPr>
        <w:t>6.7</w:t>
      </w:r>
      <w:r w:rsidRPr="00060DAB">
        <w:rPr>
          <w:rFonts w:ascii="Times New Roman" w:eastAsia="Malgun Gothic" w:hAnsi="Times New Roman" w:cs="Times New Roman"/>
          <w:iCs/>
          <w:spacing w:val="-8"/>
          <w:kern w:val="0"/>
        </w:rPr>
        <w:t xml:space="preserve"> × 10</w:t>
      </w:r>
      <w:r>
        <w:rPr>
          <w:rFonts w:ascii="Times New Roman" w:eastAsia="MS Gothic" w:hAnsi="Times New Roman" w:cs="Times New Roman"/>
          <w:iCs/>
          <w:spacing w:val="-8"/>
          <w:kern w:val="0"/>
        </w:rPr>
        <w:t>⁻</w:t>
      </w:r>
      <w:r w:rsidRPr="00D634DB">
        <w:rPr>
          <w:rFonts w:ascii="Times New Roman" w:eastAsia="MS Gothic" w:hAnsi="Times New Roman" w:cs="Times New Roman"/>
          <w:iCs/>
          <w:spacing w:val="-8"/>
          <w:kern w:val="0"/>
          <w:vertAlign w:val="superscript"/>
        </w:rPr>
        <w:t>17</w:t>
      </w:r>
      <w:r w:rsidRPr="00060DAB">
        <w:rPr>
          <w:rFonts w:ascii="Times New Roman" w:eastAsiaTheme="majorHAnsi" w:hAnsi="Times New Roman" w:cs="Times New Roman"/>
          <w:szCs w:val="20"/>
        </w:rPr>
        <w:t>.</w:t>
      </w:r>
    </w:p>
    <w:p w14:paraId="6649DBBF" w14:textId="77777777" w:rsidR="00052541" w:rsidRPr="00060DAB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szCs w:val="20"/>
        </w:rPr>
      </w:pPr>
      <w:r w:rsidRPr="00060DAB">
        <w:rPr>
          <w:rFonts w:ascii="Times New Roman" w:eastAsiaTheme="majorHAnsi" w:hAnsi="Times New Roman" w:cs="Times New Roman"/>
          <w:szCs w:val="20"/>
        </w:rPr>
        <w:t>(</w:t>
      </w:r>
      <w:r>
        <w:rPr>
          <w:rFonts w:ascii="Times New Roman" w:eastAsiaTheme="majorHAnsi" w:hAnsi="Times New Roman" w:cs="Times New Roman"/>
          <w:szCs w:val="20"/>
        </w:rPr>
        <w:t>F</w:t>
      </w:r>
      <w:r w:rsidRPr="00060DAB">
        <w:rPr>
          <w:rFonts w:ascii="Times New Roman" w:eastAsiaTheme="majorHAnsi" w:hAnsi="Times New Roman" w:cs="Times New Roman"/>
          <w:szCs w:val="20"/>
        </w:rPr>
        <w:t xml:space="preserve">) Correlation analysis between </w:t>
      </w:r>
      <w:proofErr w:type="spellStart"/>
      <w:r w:rsidRPr="00060DAB">
        <w:rPr>
          <w:rFonts w:ascii="Times New Roman" w:eastAsiaTheme="majorHAnsi" w:hAnsi="Times New Roman" w:cs="Times New Roman"/>
          <w:szCs w:val="20"/>
        </w:rPr>
        <w:t>olaparib</w:t>
      </w:r>
      <w:proofErr w:type="spellEnd"/>
      <w:r w:rsidRPr="00060DAB">
        <w:rPr>
          <w:rFonts w:ascii="Times New Roman" w:eastAsiaTheme="majorHAnsi" w:hAnsi="Times New Roman" w:cs="Times New Roman"/>
          <w:szCs w:val="20"/>
        </w:rPr>
        <w:t xml:space="preserve"> drug sensitivity (GDSC database) and </w:t>
      </w:r>
      <w:r w:rsidRPr="00060DAB">
        <w:rPr>
          <w:rFonts w:ascii="Times New Roman" w:eastAsiaTheme="majorHAnsi" w:hAnsi="Times New Roman" w:cs="Times New Roman"/>
          <w:i/>
          <w:szCs w:val="20"/>
        </w:rPr>
        <w:t>SLFN11</w:t>
      </w:r>
      <w:r w:rsidRPr="00060DAB">
        <w:rPr>
          <w:rFonts w:ascii="Times New Roman" w:eastAsiaTheme="majorHAnsi" w:hAnsi="Times New Roman" w:cs="Times New Roman"/>
          <w:szCs w:val="20"/>
        </w:rPr>
        <w:t xml:space="preserve"> mRNA expression (CCLE database) across various tissues. Pearson coefficient correlation </w:t>
      </w:r>
      <w:r w:rsidRPr="00060DAB">
        <w:rPr>
          <w:rFonts w:ascii="Times New Roman" w:eastAsiaTheme="majorHAnsi" w:hAnsi="Times New Roman" w:cs="Times New Roman"/>
          <w:i/>
          <w:szCs w:val="20"/>
        </w:rPr>
        <w:t xml:space="preserve">r </w:t>
      </w:r>
      <w:r w:rsidRPr="00060DAB">
        <w:rPr>
          <w:rFonts w:ascii="Times New Roman" w:eastAsiaTheme="majorHAnsi" w:hAnsi="Times New Roman" w:cs="Times New Roman"/>
          <w:szCs w:val="20"/>
        </w:rPr>
        <w:t>= 0.26,</w:t>
      </w:r>
      <w:r w:rsidRPr="00060DAB">
        <w:rPr>
          <w:rFonts w:ascii="Times New Roman" w:eastAsiaTheme="majorHAnsi" w:hAnsi="Times New Roman" w:cs="Times New Roman"/>
          <w:i/>
          <w:szCs w:val="20"/>
        </w:rPr>
        <w:t xml:space="preserve"> p </w:t>
      </w:r>
      <w:r>
        <w:rPr>
          <w:rFonts w:ascii="Times New Roman" w:eastAsiaTheme="majorHAnsi" w:hAnsi="Times New Roman" w:cs="Times New Roman"/>
          <w:szCs w:val="20"/>
        </w:rPr>
        <w:t xml:space="preserve">= </w:t>
      </w:r>
      <w:r>
        <w:rPr>
          <w:rFonts w:ascii="Times New Roman" w:eastAsia="Malgun Gothic" w:hAnsi="Times New Roman" w:cs="Times New Roman"/>
          <w:iCs/>
          <w:spacing w:val="-8"/>
          <w:kern w:val="0"/>
        </w:rPr>
        <w:t>1.8</w:t>
      </w:r>
      <w:r w:rsidRPr="00060DAB">
        <w:rPr>
          <w:rFonts w:ascii="Times New Roman" w:eastAsia="Malgun Gothic" w:hAnsi="Times New Roman" w:cs="Times New Roman"/>
          <w:iCs/>
          <w:spacing w:val="-8"/>
          <w:kern w:val="0"/>
        </w:rPr>
        <w:t xml:space="preserve"> × 10</w:t>
      </w:r>
      <w:r>
        <w:rPr>
          <w:rFonts w:ascii="Times New Roman" w:eastAsia="MS Gothic" w:hAnsi="Times New Roman" w:cs="Times New Roman"/>
          <w:iCs/>
          <w:spacing w:val="-8"/>
          <w:kern w:val="0"/>
        </w:rPr>
        <w:t>⁻</w:t>
      </w:r>
      <w:r w:rsidRPr="00D634DB">
        <w:rPr>
          <w:rFonts w:ascii="Times New Roman" w:eastAsia="MS Gothic" w:hAnsi="Times New Roman" w:cs="Times New Roman"/>
          <w:iCs/>
          <w:spacing w:val="-8"/>
          <w:kern w:val="0"/>
          <w:vertAlign w:val="superscript"/>
        </w:rPr>
        <w:t>10</w:t>
      </w:r>
      <w:r w:rsidRPr="00060DAB">
        <w:rPr>
          <w:rFonts w:ascii="Times New Roman" w:eastAsiaTheme="majorHAnsi" w:hAnsi="Times New Roman" w:cs="Times New Roman"/>
          <w:szCs w:val="20"/>
        </w:rPr>
        <w:t>.</w:t>
      </w:r>
    </w:p>
    <w:p w14:paraId="3A801710" w14:textId="77777777" w:rsidR="00052541" w:rsidRPr="00060DAB" w:rsidRDefault="00052541" w:rsidP="00052541">
      <w:pPr>
        <w:spacing w:after="6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1129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BC716A1" wp14:editId="3FBBEB11">
            <wp:extent cx="4860000" cy="6484446"/>
            <wp:effectExtent l="0" t="0" r="0" b="0"/>
            <wp:docPr id="25" name="그림 25" descr="G:\2017-2023\10. SLFN11\SLFN11 BIOCELL\SLFN11 BIOCELL_re_re_review\SLFN11 Figure file\Supplementary Figure 5.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2017-2023\10. SLFN11\SLFN11 BIOCELL\SLFN11 BIOCELL_re_re_review\SLFN11 Figure file\Supplementary Figure 5.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000" cy="6484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019122" w14:textId="1C51664B" w:rsidR="00052541" w:rsidRPr="00060DAB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b/>
          <w:szCs w:val="20"/>
        </w:rPr>
      </w:pPr>
      <w:r w:rsidRPr="00060DAB">
        <w:rPr>
          <w:rFonts w:ascii="Times New Roman" w:eastAsiaTheme="majorHAnsi" w:hAnsi="Times New Roman" w:cs="Times New Roman"/>
          <w:b/>
          <w:szCs w:val="20"/>
        </w:rPr>
        <w:t xml:space="preserve">Supplemental Figure 5. </w:t>
      </w:r>
      <w:r w:rsidRPr="00060DAB">
        <w:rPr>
          <w:rFonts w:ascii="Times New Roman" w:eastAsiaTheme="majorHAnsi" w:hAnsi="Times New Roman" w:cs="Times New Roman"/>
          <w:b/>
          <w:i/>
          <w:szCs w:val="20"/>
        </w:rPr>
        <w:t>IC50</w:t>
      </w:r>
      <w:r w:rsidRPr="00060DAB">
        <w:rPr>
          <w:rFonts w:ascii="Times New Roman" w:eastAsiaTheme="majorHAnsi" w:hAnsi="Times New Roman" w:cs="Times New Roman"/>
          <w:b/>
          <w:szCs w:val="20"/>
        </w:rPr>
        <w:t xml:space="preserve"> values of </w:t>
      </w:r>
      <w:r w:rsidRPr="00060DAB">
        <w:rPr>
          <w:rFonts w:ascii="Times New Roman" w:eastAsiaTheme="majorHAnsi" w:hAnsi="Times New Roman" w:cs="Times New Roman" w:hint="eastAsia"/>
          <w:b/>
          <w:szCs w:val="20"/>
        </w:rPr>
        <w:t>Gemcita</w:t>
      </w:r>
      <w:r w:rsidRPr="00060DAB">
        <w:rPr>
          <w:rFonts w:ascii="Times New Roman" w:eastAsiaTheme="majorHAnsi" w:hAnsi="Times New Roman" w:cs="Times New Roman"/>
          <w:b/>
          <w:szCs w:val="20"/>
        </w:rPr>
        <w:t>b</w:t>
      </w:r>
      <w:r w:rsidRPr="00060DAB">
        <w:rPr>
          <w:rFonts w:ascii="Times New Roman" w:eastAsiaTheme="majorHAnsi" w:hAnsi="Times New Roman" w:cs="Times New Roman" w:hint="eastAsia"/>
          <w:b/>
          <w:szCs w:val="20"/>
        </w:rPr>
        <w:t xml:space="preserve">ine, Cisplatin, </w:t>
      </w:r>
      <w:r w:rsidRPr="00060DAB">
        <w:rPr>
          <w:rFonts w:ascii="Times New Roman" w:eastAsiaTheme="majorHAnsi" w:hAnsi="Times New Roman" w:cs="Times New Roman"/>
          <w:b/>
          <w:szCs w:val="20"/>
        </w:rPr>
        <w:t xml:space="preserve">Olaparib, </w:t>
      </w:r>
      <w:proofErr w:type="spellStart"/>
      <w:r w:rsidRPr="00060DAB">
        <w:rPr>
          <w:rFonts w:ascii="Times New Roman" w:eastAsiaTheme="majorHAnsi" w:hAnsi="Times New Roman" w:cs="Times New Roman"/>
          <w:b/>
          <w:szCs w:val="20"/>
        </w:rPr>
        <w:t>Ceralasertib</w:t>
      </w:r>
      <w:proofErr w:type="spellEnd"/>
      <w:r w:rsidRPr="00060DAB">
        <w:rPr>
          <w:rFonts w:ascii="Times New Roman" w:eastAsiaTheme="majorHAnsi" w:hAnsi="Times New Roman" w:cs="Times New Roman"/>
          <w:b/>
          <w:szCs w:val="20"/>
        </w:rPr>
        <w:t xml:space="preserve">, and </w:t>
      </w:r>
      <w:proofErr w:type="spellStart"/>
      <w:r w:rsidRPr="00060DAB">
        <w:rPr>
          <w:rFonts w:ascii="Times New Roman" w:eastAsiaTheme="majorHAnsi" w:hAnsi="Times New Roman" w:cs="Times New Roman"/>
          <w:b/>
          <w:szCs w:val="20"/>
        </w:rPr>
        <w:t>Adavosertib</w:t>
      </w:r>
      <w:proofErr w:type="spellEnd"/>
      <w:r w:rsidRPr="00060DAB">
        <w:rPr>
          <w:rFonts w:ascii="Times New Roman" w:eastAsiaTheme="majorHAnsi" w:hAnsi="Times New Roman" w:cs="Times New Roman"/>
          <w:b/>
          <w:szCs w:val="20"/>
        </w:rPr>
        <w:t xml:space="preserve"> in PC cells</w:t>
      </w:r>
      <w:r>
        <w:rPr>
          <w:rFonts w:ascii="Times New Roman" w:eastAsiaTheme="majorHAnsi" w:hAnsi="Times New Roman" w:cs="Times New Roman"/>
          <w:b/>
          <w:szCs w:val="20"/>
        </w:rPr>
        <w:t>.</w:t>
      </w:r>
    </w:p>
    <w:p w14:paraId="5A29BAC3" w14:textId="77777777" w:rsidR="00052541" w:rsidRPr="00060DAB" w:rsidRDefault="00052541" w:rsidP="00052541">
      <w:pPr>
        <w:spacing w:after="60" w:line="240" w:lineRule="auto"/>
        <w:rPr>
          <w:rFonts w:ascii="Times New Roman" w:eastAsiaTheme="majorHAnsi" w:hAnsi="Times New Roman" w:cs="Times New Roman"/>
          <w:szCs w:val="20"/>
        </w:rPr>
      </w:pPr>
      <w:r w:rsidRPr="00060DAB">
        <w:rPr>
          <w:rFonts w:ascii="Times New Roman" w:eastAsiaTheme="majorHAnsi" w:hAnsi="Times New Roman" w:cs="Times New Roman"/>
          <w:i/>
          <w:szCs w:val="20"/>
        </w:rPr>
        <w:t>IC50</w:t>
      </w:r>
      <w:r w:rsidRPr="00060DAB">
        <w:rPr>
          <w:rFonts w:ascii="Times New Roman" w:eastAsiaTheme="majorHAnsi" w:hAnsi="Times New Roman" w:cs="Times New Roman"/>
          <w:szCs w:val="20"/>
        </w:rPr>
        <w:t xml:space="preserve"> values of gemcitabine, cisplatin, </w:t>
      </w:r>
      <w:proofErr w:type="spellStart"/>
      <w:r w:rsidRPr="00060DAB">
        <w:rPr>
          <w:rFonts w:ascii="Times New Roman" w:eastAsiaTheme="majorHAnsi" w:hAnsi="Times New Roman" w:cs="Times New Roman"/>
          <w:szCs w:val="20"/>
        </w:rPr>
        <w:t>olaparib</w:t>
      </w:r>
      <w:proofErr w:type="spellEnd"/>
      <w:r w:rsidRPr="00060DAB">
        <w:rPr>
          <w:rFonts w:ascii="Times New Roman" w:eastAsiaTheme="majorHAnsi" w:hAnsi="Times New Roman" w:cs="Times New Roman"/>
          <w:szCs w:val="20"/>
        </w:rPr>
        <w:t xml:space="preserve">, </w:t>
      </w:r>
      <w:proofErr w:type="spellStart"/>
      <w:r w:rsidRPr="00060DAB">
        <w:rPr>
          <w:rFonts w:ascii="Times New Roman" w:eastAsiaTheme="majorHAnsi" w:hAnsi="Times New Roman" w:cs="Times New Roman"/>
          <w:szCs w:val="20"/>
        </w:rPr>
        <w:t>ceralasertib</w:t>
      </w:r>
      <w:proofErr w:type="spellEnd"/>
      <w:r w:rsidRPr="00060DAB">
        <w:rPr>
          <w:rFonts w:ascii="Times New Roman" w:eastAsiaTheme="majorHAnsi" w:hAnsi="Times New Roman" w:cs="Times New Roman"/>
          <w:szCs w:val="20"/>
        </w:rPr>
        <w:t xml:space="preserve">, and </w:t>
      </w:r>
      <w:proofErr w:type="spellStart"/>
      <w:r w:rsidRPr="00060DAB">
        <w:rPr>
          <w:rFonts w:ascii="Times New Roman" w:eastAsiaTheme="majorHAnsi" w:hAnsi="Times New Roman" w:cs="Times New Roman"/>
          <w:szCs w:val="20"/>
        </w:rPr>
        <w:t>adavosertib</w:t>
      </w:r>
      <w:proofErr w:type="spellEnd"/>
      <w:r w:rsidRPr="00060DAB">
        <w:rPr>
          <w:rFonts w:ascii="Times New Roman" w:eastAsiaTheme="majorHAnsi" w:hAnsi="Times New Roman" w:cs="Times New Roman"/>
          <w:szCs w:val="20"/>
        </w:rPr>
        <w:t xml:space="preserve"> in PC cells obtained from the </w:t>
      </w:r>
      <w:proofErr w:type="spellStart"/>
      <w:r w:rsidRPr="00060DAB">
        <w:rPr>
          <w:rFonts w:ascii="Times New Roman" w:eastAsiaTheme="majorHAnsi" w:hAnsi="Times New Roman" w:cs="Times New Roman"/>
          <w:szCs w:val="20"/>
        </w:rPr>
        <w:t>CellMiner</w:t>
      </w:r>
      <w:proofErr w:type="spellEnd"/>
      <w:r w:rsidRPr="00060DAB">
        <w:rPr>
          <w:rFonts w:ascii="Times New Roman" w:eastAsiaTheme="majorHAnsi" w:hAnsi="Times New Roman" w:cs="Times New Roman"/>
          <w:szCs w:val="20"/>
        </w:rPr>
        <w:t xml:space="preserve"> Cross-Database.</w:t>
      </w:r>
    </w:p>
    <w:sectPr w:rsidR="00052541" w:rsidRPr="00060DAB" w:rsidSect="00017762">
      <w:pgSz w:w="11906" w:h="16838"/>
      <w:pgMar w:top="1440" w:right="1800" w:bottom="1440" w:left="180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 Pro">
    <w:altName w:val="Cambria Math"/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B468F5"/>
    <w:multiLevelType w:val="hybridMultilevel"/>
    <w:tmpl w:val="CC4E56EA"/>
    <w:lvl w:ilvl="0" w:tplc="E264CA32">
      <w:start w:val="1"/>
      <w:numFmt w:val="bullet"/>
      <w:lvlRestart w:val="0"/>
      <w:pStyle w:val="TSP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52085B"/>
    <w:multiLevelType w:val="hybridMultilevel"/>
    <w:tmpl w:val="CB98231C"/>
    <w:lvl w:ilvl="0" w:tplc="664029F2">
      <w:start w:val="1"/>
      <w:numFmt w:val="decimal"/>
      <w:lvlRestart w:val="0"/>
      <w:pStyle w:val="TSP71FootNotes"/>
      <w:lvlText w:val="%1."/>
      <w:lvlJc w:val="left"/>
      <w:pPr>
        <w:ind w:left="425" w:hanging="425"/>
      </w:pPr>
      <w:rPr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012E46"/>
    <w:multiLevelType w:val="hybridMultilevel"/>
    <w:tmpl w:val="88C2FAD8"/>
    <w:lvl w:ilvl="0" w:tplc="5C06B1C6">
      <w:start w:val="1"/>
      <w:numFmt w:val="decimal"/>
      <w:pStyle w:val="TSP71References"/>
      <w:lvlText w:val="%1."/>
      <w:lvlJc w:val="left"/>
      <w:pPr>
        <w:ind w:left="360" w:hanging="360"/>
      </w:pPr>
      <w:rPr>
        <w:rFonts w:hint="eastAsia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311A3B"/>
    <w:multiLevelType w:val="hybridMultilevel"/>
    <w:tmpl w:val="9EF4A612"/>
    <w:lvl w:ilvl="0" w:tplc="BED0D818">
      <w:start w:val="1"/>
      <w:numFmt w:val="decimal"/>
      <w:lvlRestart w:val="0"/>
      <w:pStyle w:val="TSP37itemize"/>
      <w:lvlText w:val="%1."/>
      <w:lvlJc w:val="left"/>
      <w:pPr>
        <w:tabs>
          <w:tab w:val="num" w:pos="0"/>
        </w:tabs>
        <w:ind w:left="425" w:hanging="425"/>
      </w:pPr>
      <w:rPr>
        <w:rFonts w:hint="eastAsia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0"/>
        <w:u w:val="none"/>
        <w:effect w:val="none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4048" w:hanging="360"/>
      </w:pPr>
    </w:lvl>
    <w:lvl w:ilvl="2" w:tplc="0409001B" w:tentative="1">
      <w:start w:val="1"/>
      <w:numFmt w:val="lowerRoman"/>
      <w:lvlText w:val="%3."/>
      <w:lvlJc w:val="right"/>
      <w:pPr>
        <w:ind w:left="4768" w:hanging="180"/>
      </w:pPr>
    </w:lvl>
    <w:lvl w:ilvl="3" w:tplc="0409000F" w:tentative="1">
      <w:start w:val="1"/>
      <w:numFmt w:val="decimal"/>
      <w:lvlText w:val="%4."/>
      <w:lvlJc w:val="left"/>
      <w:pPr>
        <w:ind w:left="5488" w:hanging="360"/>
      </w:pPr>
    </w:lvl>
    <w:lvl w:ilvl="4" w:tplc="04090019" w:tentative="1">
      <w:start w:val="1"/>
      <w:numFmt w:val="lowerLetter"/>
      <w:lvlText w:val="%5."/>
      <w:lvlJc w:val="left"/>
      <w:pPr>
        <w:ind w:left="6208" w:hanging="360"/>
      </w:pPr>
    </w:lvl>
    <w:lvl w:ilvl="5" w:tplc="0409001B" w:tentative="1">
      <w:start w:val="1"/>
      <w:numFmt w:val="lowerRoman"/>
      <w:lvlText w:val="%6."/>
      <w:lvlJc w:val="right"/>
      <w:pPr>
        <w:ind w:left="6928" w:hanging="180"/>
      </w:pPr>
    </w:lvl>
    <w:lvl w:ilvl="6" w:tplc="0409000F" w:tentative="1">
      <w:start w:val="1"/>
      <w:numFmt w:val="decimal"/>
      <w:lvlText w:val="%7."/>
      <w:lvlJc w:val="left"/>
      <w:pPr>
        <w:ind w:left="7648" w:hanging="360"/>
      </w:pPr>
    </w:lvl>
    <w:lvl w:ilvl="7" w:tplc="04090019" w:tentative="1">
      <w:start w:val="1"/>
      <w:numFmt w:val="lowerLetter"/>
      <w:lvlText w:val="%8."/>
      <w:lvlJc w:val="left"/>
      <w:pPr>
        <w:ind w:left="8368" w:hanging="360"/>
      </w:pPr>
    </w:lvl>
    <w:lvl w:ilvl="8" w:tplc="0409001B" w:tentative="1">
      <w:start w:val="1"/>
      <w:numFmt w:val="lowerRoman"/>
      <w:lvlText w:val="%9."/>
      <w:lvlJc w:val="right"/>
      <w:pPr>
        <w:ind w:left="9088" w:hanging="180"/>
      </w:pPr>
    </w:lvl>
  </w:abstractNum>
  <w:num w:numId="1" w16cid:durableId="756294589">
    <w:abstractNumId w:val="3"/>
  </w:num>
  <w:num w:numId="2" w16cid:durableId="1339962270">
    <w:abstractNumId w:val="0"/>
  </w:num>
  <w:num w:numId="3" w16cid:durableId="2031487035">
    <w:abstractNumId w:val="1"/>
  </w:num>
  <w:num w:numId="4" w16cid:durableId="1994748068">
    <w:abstractNumId w:val="2"/>
  </w:num>
  <w:num w:numId="5" w16cid:durableId="1294091274">
    <w:abstractNumId w:val="3"/>
  </w:num>
  <w:num w:numId="6" w16cid:durableId="1989673285">
    <w:abstractNumId w:val="0"/>
  </w:num>
  <w:num w:numId="7" w16cid:durableId="1452361515">
    <w:abstractNumId w:val="1"/>
  </w:num>
  <w:num w:numId="8" w16cid:durableId="17631472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2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2541"/>
    <w:rsid w:val="00017762"/>
    <w:rsid w:val="00052541"/>
    <w:rsid w:val="00146325"/>
    <w:rsid w:val="00514C6D"/>
    <w:rsid w:val="00654C61"/>
    <w:rsid w:val="00831DED"/>
    <w:rsid w:val="009C5B02"/>
    <w:rsid w:val="00C24A16"/>
    <w:rsid w:val="00D00ED0"/>
    <w:rsid w:val="00D43155"/>
    <w:rsid w:val="00F62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50F4027"/>
  <w15:chartTrackingRefBased/>
  <w15:docId w15:val="{F1A54B68-AC86-4AAE-AED6-49BB5B1E9E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SP11articletype">
    <w:name w:val="TSP_1.1_article_type"/>
    <w:next w:val="Normal"/>
    <w:qFormat/>
    <w:rsid w:val="00F62D66"/>
    <w:pPr>
      <w:adjustRightInd w:val="0"/>
      <w:snapToGrid w:val="0"/>
      <w:spacing w:before="240" w:after="0" w:line="240" w:lineRule="atLeast"/>
    </w:pPr>
    <w:rPr>
      <w:rFonts w:ascii="Minion Pro" w:eastAsia="Times New Roman" w:hAnsi="Minion Pro" w:cs="Times New Roman"/>
      <w:b/>
      <w:caps/>
      <w:snapToGrid w:val="0"/>
      <w:color w:val="000000"/>
      <w:kern w:val="0"/>
      <w:sz w:val="18"/>
      <w:u w:val="single"/>
      <w:lang w:eastAsia="de-DE" w:bidi="en-US"/>
    </w:rPr>
  </w:style>
  <w:style w:type="paragraph" w:customStyle="1" w:styleId="TSP110doinum">
    <w:name w:val="TSP_1.10_doinum"/>
    <w:basedOn w:val="Normal"/>
    <w:qFormat/>
    <w:rsid w:val="00F62D66"/>
    <w:pPr>
      <w:widowControl/>
      <w:spacing w:after="240" w:line="60" w:lineRule="atLeast"/>
      <w:jc w:val="left"/>
    </w:pPr>
    <w:rPr>
      <w:rFonts w:ascii="Minion Pro" w:hAnsi="Minion Pro" w:cs="Times New Roman"/>
      <w:color w:val="000000"/>
      <w:sz w:val="14"/>
      <w:szCs w:val="20"/>
    </w:rPr>
  </w:style>
  <w:style w:type="paragraph" w:customStyle="1" w:styleId="TSP12title">
    <w:name w:val="TSP_1.2_title"/>
    <w:next w:val="Normal"/>
    <w:qFormat/>
    <w:rsid w:val="00F62D66"/>
    <w:pPr>
      <w:adjustRightInd w:val="0"/>
      <w:snapToGrid w:val="0"/>
      <w:spacing w:before="240" w:after="240" w:line="240" w:lineRule="atLeast"/>
    </w:pPr>
    <w:rPr>
      <w:rFonts w:ascii="Minion Pro" w:eastAsia="Times New Roman" w:hAnsi="Minion Pro" w:cs="Times New Roman"/>
      <w:b/>
      <w:snapToGrid w:val="0"/>
      <w:color w:val="000000"/>
      <w:kern w:val="0"/>
      <w:sz w:val="28"/>
      <w:szCs w:val="20"/>
      <w:lang w:eastAsia="de-DE" w:bidi="en-US"/>
    </w:rPr>
  </w:style>
  <w:style w:type="paragraph" w:customStyle="1" w:styleId="TSP13authornames">
    <w:name w:val="TSP_1.3_authornames"/>
    <w:next w:val="Normal"/>
    <w:qFormat/>
    <w:rsid w:val="00F62D66"/>
    <w:pPr>
      <w:adjustRightInd w:val="0"/>
      <w:snapToGrid w:val="0"/>
      <w:spacing w:before="240" w:after="240" w:line="240" w:lineRule="atLeast"/>
    </w:pPr>
    <w:rPr>
      <w:rFonts w:ascii="Minion Pro" w:eastAsia="Times New Roman" w:hAnsi="Minion Pro" w:cs="Times New Roman"/>
      <w:b/>
      <w:color w:val="000000"/>
      <w:kern w:val="0"/>
      <w:lang w:eastAsia="de-DE" w:bidi="en-US"/>
    </w:rPr>
  </w:style>
  <w:style w:type="paragraph" w:customStyle="1" w:styleId="TSP14history">
    <w:name w:val="TSP_1.4_history"/>
    <w:basedOn w:val="Normal"/>
    <w:next w:val="Normal"/>
    <w:autoRedefine/>
    <w:qFormat/>
    <w:rsid w:val="00F62D66"/>
    <w:pPr>
      <w:widowControl/>
      <w:adjustRightInd w:val="0"/>
      <w:snapToGrid w:val="0"/>
      <w:spacing w:before="60" w:after="240" w:line="240" w:lineRule="atLeast"/>
      <w:jc w:val="left"/>
    </w:pPr>
    <w:rPr>
      <w:rFonts w:ascii="Minion Pro" w:eastAsia="Times New Roman" w:hAnsi="Minion Pro" w:cs="Times New Roman"/>
      <w:color w:val="000000"/>
      <w:kern w:val="0"/>
      <w:sz w:val="18"/>
      <w:szCs w:val="20"/>
      <w:lang w:eastAsia="de-DE" w:bidi="en-US"/>
    </w:rPr>
  </w:style>
  <w:style w:type="paragraph" w:customStyle="1" w:styleId="TSP15academiceditor">
    <w:name w:val="TSP_1.5_academic_editor"/>
    <w:qFormat/>
    <w:rsid w:val="00F62D66"/>
    <w:pPr>
      <w:adjustRightInd w:val="0"/>
      <w:snapToGrid w:val="0"/>
      <w:spacing w:before="120" w:after="120" w:line="240" w:lineRule="atLeast"/>
    </w:pPr>
    <w:rPr>
      <w:rFonts w:ascii="Minion Pro" w:eastAsia="Times New Roman" w:hAnsi="Minion Pro" w:cs="Times New Roman"/>
      <w:color w:val="000000"/>
      <w:kern w:val="0"/>
      <w:sz w:val="18"/>
      <w:lang w:eastAsia="de-DE" w:bidi="en-US"/>
    </w:rPr>
  </w:style>
  <w:style w:type="paragraph" w:customStyle="1" w:styleId="TSP16affiliation">
    <w:name w:val="TSP_1.6_affiliation"/>
    <w:qFormat/>
    <w:rsid w:val="00F62D66"/>
    <w:pPr>
      <w:adjustRightInd w:val="0"/>
      <w:snapToGrid w:val="0"/>
      <w:spacing w:after="0" w:line="240" w:lineRule="atLeast"/>
    </w:pPr>
    <w:rPr>
      <w:rFonts w:ascii="Minion Pro" w:eastAsia="Times New Roman" w:hAnsi="Minion Pro" w:cs="Times New Roman"/>
      <w:color w:val="000000"/>
      <w:kern w:val="0"/>
      <w:sz w:val="18"/>
      <w:szCs w:val="18"/>
      <w:lang w:eastAsia="de-DE" w:bidi="en-US"/>
    </w:rPr>
  </w:style>
  <w:style w:type="paragraph" w:customStyle="1" w:styleId="TSP17abstract">
    <w:name w:val="TSP_1.7_abstract"/>
    <w:next w:val="Normal"/>
    <w:qFormat/>
    <w:rsid w:val="00F62D66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color w:val="000000"/>
      <w:kern w:val="0"/>
      <w:sz w:val="20"/>
      <w:lang w:eastAsia="de-DE" w:bidi="en-US"/>
    </w:rPr>
  </w:style>
  <w:style w:type="paragraph" w:customStyle="1" w:styleId="TSP18keywords">
    <w:name w:val="TSP_1.8_keywords"/>
    <w:next w:val="Normal"/>
    <w:qFormat/>
    <w:rsid w:val="00F62D66"/>
    <w:pPr>
      <w:adjustRightInd w:val="0"/>
      <w:snapToGrid w:val="0"/>
      <w:spacing w:before="240" w:after="0" w:line="240" w:lineRule="atLeast"/>
      <w:jc w:val="both"/>
    </w:pPr>
    <w:rPr>
      <w:rFonts w:ascii="Minion Pro" w:eastAsia="Times New Roman" w:hAnsi="Minion Pro" w:cs="Times New Roman"/>
      <w:snapToGrid w:val="0"/>
      <w:color w:val="000000"/>
      <w:kern w:val="0"/>
      <w:sz w:val="20"/>
      <w:lang w:eastAsia="de-DE" w:bidi="en-US"/>
    </w:rPr>
  </w:style>
  <w:style w:type="paragraph" w:customStyle="1" w:styleId="TSP19classification">
    <w:name w:val="TSP_1.9_classification"/>
    <w:qFormat/>
    <w:rsid w:val="00F62D66"/>
    <w:pPr>
      <w:spacing w:before="240" w:after="0" w:line="240" w:lineRule="atLeast"/>
      <w:jc w:val="both"/>
    </w:pPr>
    <w:rPr>
      <w:rFonts w:ascii="Minion Pro" w:eastAsia="Times New Roman" w:hAnsi="Minion Pro" w:cs="Times New Roman"/>
      <w:b/>
      <w:color w:val="000000"/>
      <w:kern w:val="0"/>
      <w:sz w:val="20"/>
      <w:lang w:eastAsia="de-DE" w:bidi="en-US"/>
    </w:rPr>
  </w:style>
  <w:style w:type="paragraph" w:customStyle="1" w:styleId="TSP19line">
    <w:name w:val="TSP_1.9_line"/>
    <w:qFormat/>
    <w:rsid w:val="00F62D66"/>
    <w:pPr>
      <w:pBdr>
        <w:bottom w:val="single" w:sz="6" w:space="1" w:color="auto"/>
      </w:pBdr>
      <w:adjustRightInd w:val="0"/>
      <w:snapToGrid w:val="0"/>
      <w:spacing w:after="480" w:line="240" w:lineRule="atLeast"/>
      <w:jc w:val="both"/>
    </w:pPr>
    <w:rPr>
      <w:rFonts w:ascii="Minion Pro" w:eastAsia="Times New Roman" w:hAnsi="Minion Pro" w:cs="Cordia New"/>
      <w:color w:val="000000"/>
      <w:kern w:val="0"/>
      <w:sz w:val="20"/>
      <w:szCs w:val="24"/>
      <w:lang w:eastAsia="de-DE" w:bidi="en-US"/>
    </w:rPr>
  </w:style>
  <w:style w:type="paragraph" w:customStyle="1" w:styleId="TSP21heading1">
    <w:name w:val="TSP_2.1_heading1"/>
    <w:qFormat/>
    <w:rsid w:val="00F62D66"/>
    <w:pPr>
      <w:adjustRightInd w:val="0"/>
      <w:snapToGrid w:val="0"/>
      <w:spacing w:before="240" w:after="60" w:line="240" w:lineRule="atLeast"/>
      <w:outlineLvl w:val="0"/>
    </w:pPr>
    <w:rPr>
      <w:rFonts w:ascii="Minion Pro" w:eastAsia="Times New Roman" w:hAnsi="Minion Pro" w:cs="Times New Roman"/>
      <w:b/>
      <w:snapToGrid w:val="0"/>
      <w:color w:val="000000"/>
      <w:kern w:val="0"/>
      <w:lang w:eastAsia="de-DE" w:bidi="en-US"/>
    </w:rPr>
  </w:style>
  <w:style w:type="paragraph" w:customStyle="1" w:styleId="TSP22heading2">
    <w:name w:val="TSP_2.2_heading2"/>
    <w:qFormat/>
    <w:rsid w:val="00F62D66"/>
    <w:pPr>
      <w:adjustRightInd w:val="0"/>
      <w:snapToGrid w:val="0"/>
      <w:spacing w:before="60" w:after="60" w:line="240" w:lineRule="atLeast"/>
      <w:outlineLvl w:val="1"/>
    </w:pPr>
    <w:rPr>
      <w:rFonts w:ascii="Minion Pro" w:eastAsia="Times New Roman" w:hAnsi="Minion Pro" w:cs="Times New Roman"/>
      <w:b/>
      <w:i/>
      <w:noProof/>
      <w:snapToGrid w:val="0"/>
      <w:color w:val="000000"/>
      <w:kern w:val="0"/>
      <w:lang w:eastAsia="de-DE" w:bidi="en-US"/>
    </w:rPr>
  </w:style>
  <w:style w:type="paragraph" w:customStyle="1" w:styleId="TSP23heading3">
    <w:name w:val="TSP_2.3_heading3"/>
    <w:qFormat/>
    <w:rsid w:val="00F62D66"/>
    <w:pPr>
      <w:adjustRightInd w:val="0"/>
      <w:snapToGrid w:val="0"/>
      <w:spacing w:before="60" w:after="60" w:line="240" w:lineRule="atLeast"/>
      <w:outlineLvl w:val="2"/>
    </w:pPr>
    <w:rPr>
      <w:rFonts w:ascii="Minion Pro" w:eastAsia="Times New Roman" w:hAnsi="Minion Pro" w:cs="Times New Roman"/>
      <w:i/>
      <w:snapToGrid w:val="0"/>
      <w:color w:val="000000"/>
      <w:kern w:val="0"/>
      <w:lang w:eastAsia="de-DE" w:bidi="en-US"/>
    </w:rPr>
  </w:style>
  <w:style w:type="paragraph" w:customStyle="1" w:styleId="TSP31text">
    <w:name w:val="TSP_3.1_text"/>
    <w:qFormat/>
    <w:rsid w:val="00F62D66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</w:rPr>
  </w:style>
  <w:style w:type="paragraph" w:customStyle="1" w:styleId="TSP32textnoindent">
    <w:name w:val="TSP_3.2_text_no_indent"/>
    <w:basedOn w:val="TSP31text"/>
    <w:qFormat/>
    <w:rsid w:val="00F62D66"/>
    <w:pPr>
      <w:ind w:firstLine="0"/>
    </w:pPr>
  </w:style>
  <w:style w:type="paragraph" w:customStyle="1" w:styleId="TSP33textspaceafter">
    <w:name w:val="TSP_3.3_text_space_after"/>
    <w:qFormat/>
    <w:rsid w:val="00F62D66"/>
    <w:pPr>
      <w:adjustRightInd w:val="0"/>
      <w:snapToGrid w:val="0"/>
      <w:spacing w:after="24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</w:rPr>
  </w:style>
  <w:style w:type="paragraph" w:customStyle="1" w:styleId="TSP34textspacebefore">
    <w:name w:val="TSP_3.4_text_space_before"/>
    <w:qFormat/>
    <w:rsid w:val="00F62D66"/>
    <w:pPr>
      <w:adjustRightInd w:val="0"/>
      <w:snapToGrid w:val="0"/>
      <w:spacing w:before="240" w:after="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</w:rPr>
  </w:style>
  <w:style w:type="paragraph" w:customStyle="1" w:styleId="TSP35textbeforelist">
    <w:name w:val="TSP_3.5_text_before_list"/>
    <w:qFormat/>
    <w:rsid w:val="00F62D66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</w:rPr>
  </w:style>
  <w:style w:type="paragraph" w:customStyle="1" w:styleId="TSP36textafterlist">
    <w:name w:val="TSP_3.6_text_after_list"/>
    <w:qFormat/>
    <w:rsid w:val="00F62D66"/>
    <w:pPr>
      <w:adjustRightInd w:val="0"/>
      <w:snapToGrid w:val="0"/>
      <w:spacing w:before="60" w:after="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</w:rPr>
  </w:style>
  <w:style w:type="paragraph" w:customStyle="1" w:styleId="TSP37itemize">
    <w:name w:val="TSP_3.7_itemize"/>
    <w:qFormat/>
    <w:rsid w:val="00F62D66"/>
    <w:pPr>
      <w:numPr>
        <w:numId w:val="5"/>
      </w:num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lang w:eastAsia="de-DE" w:bidi="en-US"/>
    </w:rPr>
  </w:style>
  <w:style w:type="paragraph" w:customStyle="1" w:styleId="TSP38bullet">
    <w:name w:val="TSP_3.8_bullet"/>
    <w:qFormat/>
    <w:rsid w:val="00F62D66"/>
    <w:pPr>
      <w:numPr>
        <w:numId w:val="6"/>
      </w:num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lang w:eastAsia="de-DE" w:bidi="en-US"/>
    </w:rPr>
  </w:style>
  <w:style w:type="paragraph" w:customStyle="1" w:styleId="TSP39equation">
    <w:name w:val="TSP_3.9_equation"/>
    <w:qFormat/>
    <w:rsid w:val="00F62D66"/>
    <w:pPr>
      <w:adjustRightInd w:val="0"/>
      <w:snapToGrid w:val="0"/>
      <w:spacing w:before="120" w:after="120" w:line="240" w:lineRule="atLeast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</w:rPr>
  </w:style>
  <w:style w:type="paragraph" w:customStyle="1" w:styleId="TSP3aequationnumber">
    <w:name w:val="TSP_3.a_equation_number"/>
    <w:qFormat/>
    <w:rsid w:val="00F62D66"/>
    <w:pPr>
      <w:spacing w:before="120" w:after="120" w:line="240" w:lineRule="atLeast"/>
      <w:jc w:val="right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</w:rPr>
  </w:style>
  <w:style w:type="paragraph" w:customStyle="1" w:styleId="TSP411onetablecaption">
    <w:name w:val="TSP_4.1.1_one_table_caption"/>
    <w:qFormat/>
    <w:rsid w:val="00F62D66"/>
    <w:pPr>
      <w:adjustRightInd w:val="0"/>
      <w:snapToGrid w:val="0"/>
      <w:spacing w:before="240" w:after="120" w:line="240" w:lineRule="atLeast"/>
      <w:jc w:val="center"/>
    </w:pPr>
    <w:rPr>
      <w:rFonts w:ascii="Minion Pro" w:eastAsia="宋体" w:hAnsi="Minion Pro" w:cs="Cordia New"/>
      <w:noProof/>
      <w:color w:val="000000"/>
      <w:kern w:val="0"/>
      <w:sz w:val="20"/>
      <w:lang w:bidi="en-US"/>
    </w:rPr>
  </w:style>
  <w:style w:type="paragraph" w:customStyle="1" w:styleId="TSP41tablecaption">
    <w:name w:val="TSP_4.1_table_caption"/>
    <w:qFormat/>
    <w:rsid w:val="00F62D66"/>
    <w:pPr>
      <w:adjustRightInd w:val="0"/>
      <w:snapToGrid w:val="0"/>
      <w:spacing w:before="240" w:after="120" w:line="240" w:lineRule="atLeast"/>
      <w:jc w:val="both"/>
    </w:pPr>
    <w:rPr>
      <w:rFonts w:ascii="Minion Pro" w:eastAsia="Times New Roman" w:hAnsi="Minion Pro" w:cs="Cordia New"/>
      <w:color w:val="000000"/>
      <w:kern w:val="0"/>
      <w:sz w:val="20"/>
      <w:lang w:eastAsia="de-DE" w:bidi="en-US"/>
    </w:rPr>
  </w:style>
  <w:style w:type="paragraph" w:customStyle="1" w:styleId="TSP42tablebody">
    <w:name w:val="TSP_4.2_table_body"/>
    <w:qFormat/>
    <w:rsid w:val="00F62D66"/>
    <w:pPr>
      <w:adjustRightInd w:val="0"/>
      <w:snapToGrid w:val="0"/>
      <w:spacing w:after="0" w:line="240" w:lineRule="atLeast"/>
      <w:jc w:val="center"/>
    </w:pPr>
    <w:rPr>
      <w:rFonts w:ascii="Minion Pro" w:eastAsia="Times New Roman" w:hAnsi="Minion Pro" w:cs="Times New Roman"/>
      <w:snapToGrid w:val="0"/>
      <w:color w:val="000000"/>
      <w:kern w:val="0"/>
      <w:sz w:val="20"/>
      <w:szCs w:val="20"/>
      <w:lang w:eastAsia="de-DE" w:bidi="en-US"/>
    </w:rPr>
  </w:style>
  <w:style w:type="paragraph" w:customStyle="1" w:styleId="TSP43tablefooter">
    <w:name w:val="TSP_4.3_table_footer"/>
    <w:next w:val="TSP31text"/>
    <w:qFormat/>
    <w:rsid w:val="00F62D66"/>
    <w:pPr>
      <w:adjustRightInd w:val="0"/>
      <w:snapToGrid w:val="0"/>
      <w:spacing w:after="240" w:line="240" w:lineRule="atLeast"/>
      <w:jc w:val="both"/>
    </w:pPr>
    <w:rPr>
      <w:rFonts w:ascii="Minion Pro" w:eastAsia="Times New Roman" w:hAnsi="Minion Pro" w:cs="Cordia New"/>
      <w:color w:val="000000"/>
      <w:kern w:val="0"/>
      <w:sz w:val="20"/>
      <w:lang w:eastAsia="de-DE" w:bidi="en-US"/>
    </w:rPr>
  </w:style>
  <w:style w:type="paragraph" w:customStyle="1" w:styleId="TSP511onefigurecaption">
    <w:name w:val="TSP_5.1.1_one_figure_caption"/>
    <w:qFormat/>
    <w:rsid w:val="00F62D66"/>
    <w:pPr>
      <w:adjustRightInd w:val="0"/>
      <w:snapToGrid w:val="0"/>
      <w:spacing w:before="120" w:after="240" w:line="240" w:lineRule="atLeast"/>
      <w:jc w:val="center"/>
    </w:pPr>
    <w:rPr>
      <w:rFonts w:ascii="Minion Pro" w:eastAsia="宋体" w:hAnsi="Minion Pro" w:cs="Times New Roman"/>
      <w:noProof/>
      <w:color w:val="000000"/>
      <w:kern w:val="0"/>
      <w:sz w:val="20"/>
      <w:szCs w:val="20"/>
      <w:lang w:bidi="en-US"/>
    </w:rPr>
  </w:style>
  <w:style w:type="paragraph" w:customStyle="1" w:styleId="TSP51figurecaption">
    <w:name w:val="TSP_5.1_figure_caption"/>
    <w:qFormat/>
    <w:rsid w:val="00F62D66"/>
    <w:pPr>
      <w:adjustRightInd w:val="0"/>
      <w:snapToGrid w:val="0"/>
      <w:spacing w:before="120" w:after="240" w:line="240" w:lineRule="atLeast"/>
      <w:jc w:val="both"/>
    </w:pPr>
    <w:rPr>
      <w:rFonts w:ascii="Minion Pro" w:eastAsia="Times New Roman" w:hAnsi="Minion Pro" w:cs="Times New Roman"/>
      <w:color w:val="000000"/>
      <w:kern w:val="0"/>
      <w:sz w:val="20"/>
      <w:szCs w:val="20"/>
      <w:lang w:eastAsia="de-DE" w:bidi="en-US"/>
    </w:rPr>
  </w:style>
  <w:style w:type="paragraph" w:customStyle="1" w:styleId="TSP52figure">
    <w:name w:val="TSP_5.2_figure"/>
    <w:qFormat/>
    <w:rsid w:val="00F62D66"/>
    <w:pPr>
      <w:adjustRightInd w:val="0"/>
      <w:snapToGrid w:val="0"/>
      <w:spacing w:before="240" w:after="120" w:line="240" w:lineRule="atLeast"/>
      <w:jc w:val="center"/>
    </w:pPr>
    <w:rPr>
      <w:rFonts w:ascii="Minion Pro" w:eastAsia="Times New Roman" w:hAnsi="Minion Pro" w:cs="Times New Roman"/>
      <w:snapToGrid w:val="0"/>
      <w:color w:val="000000"/>
      <w:kern w:val="0"/>
      <w:sz w:val="20"/>
      <w:szCs w:val="20"/>
      <w:lang w:eastAsia="de-DE" w:bidi="en-US"/>
    </w:rPr>
  </w:style>
  <w:style w:type="paragraph" w:customStyle="1" w:styleId="TSP61Citation">
    <w:name w:val="TSP_6.1_Citation"/>
    <w:qFormat/>
    <w:rsid w:val="00F62D66"/>
    <w:pPr>
      <w:adjustRightInd w:val="0"/>
      <w:snapToGrid w:val="0"/>
      <w:spacing w:after="0" w:line="240" w:lineRule="atLeast"/>
    </w:pPr>
    <w:rPr>
      <w:rFonts w:ascii="Minion Pro" w:eastAsia="宋体" w:hAnsi="Minion Pro" w:cs="Cordia New"/>
      <w:kern w:val="0"/>
    </w:rPr>
  </w:style>
  <w:style w:type="paragraph" w:customStyle="1" w:styleId="TSP62BackMatter">
    <w:name w:val="TSP_6.2_BackMatter"/>
    <w:qFormat/>
    <w:rsid w:val="00F62D66"/>
    <w:pPr>
      <w:adjustRightInd w:val="0"/>
      <w:snapToGrid w:val="0"/>
      <w:spacing w:before="120" w:after="120" w:line="240" w:lineRule="atLeast"/>
      <w:jc w:val="both"/>
    </w:pPr>
    <w:rPr>
      <w:rFonts w:ascii="Minion Pro" w:eastAsia="Times New Roman" w:hAnsi="Minion Pro" w:cs="Times New Roman"/>
      <w:snapToGrid w:val="0"/>
      <w:color w:val="000000"/>
      <w:kern w:val="0"/>
      <w:sz w:val="20"/>
      <w:szCs w:val="20"/>
      <w:lang w:eastAsia="en-US" w:bidi="en-US"/>
    </w:rPr>
  </w:style>
  <w:style w:type="paragraph" w:customStyle="1" w:styleId="TSP63Notes">
    <w:name w:val="TSP_6.3_Notes"/>
    <w:qFormat/>
    <w:rsid w:val="00F62D66"/>
    <w:pPr>
      <w:adjustRightInd w:val="0"/>
      <w:snapToGrid w:val="0"/>
      <w:spacing w:before="60" w:after="60" w:line="228" w:lineRule="auto"/>
      <w:jc w:val="both"/>
    </w:pPr>
    <w:rPr>
      <w:rFonts w:ascii="Minion Pro" w:eastAsia="宋体" w:hAnsi="Minion Pro" w:cs="Times New Roman"/>
      <w:snapToGrid w:val="0"/>
      <w:color w:val="000000"/>
      <w:kern w:val="0"/>
      <w:sz w:val="18"/>
      <w:szCs w:val="20"/>
      <w:lang w:eastAsia="en-US" w:bidi="en-US"/>
    </w:rPr>
  </w:style>
  <w:style w:type="paragraph" w:customStyle="1" w:styleId="TSP71FootNotes">
    <w:name w:val="TSP_7.1_FootNotes"/>
    <w:qFormat/>
    <w:rsid w:val="00F62D66"/>
    <w:pPr>
      <w:numPr>
        <w:numId w:val="7"/>
      </w:numPr>
      <w:adjustRightInd w:val="0"/>
      <w:snapToGrid w:val="0"/>
      <w:spacing w:before="60" w:after="60" w:line="228" w:lineRule="auto"/>
      <w:jc w:val="both"/>
    </w:pPr>
    <w:rPr>
      <w:rFonts w:ascii="Minion Pro" w:hAnsi="Minion Pro" w:cs="Times New Roman"/>
      <w:noProof/>
      <w:color w:val="000000"/>
      <w:kern w:val="0"/>
      <w:sz w:val="18"/>
      <w:szCs w:val="20"/>
    </w:rPr>
  </w:style>
  <w:style w:type="paragraph" w:customStyle="1" w:styleId="TSP71References">
    <w:name w:val="TSP_7.1_References"/>
    <w:qFormat/>
    <w:rsid w:val="00F62D66"/>
    <w:pPr>
      <w:numPr>
        <w:numId w:val="8"/>
      </w:numPr>
      <w:adjustRightInd w:val="0"/>
      <w:snapToGrid w:val="0"/>
      <w:spacing w:after="0" w:line="228" w:lineRule="auto"/>
      <w:jc w:val="both"/>
    </w:pPr>
    <w:rPr>
      <w:rFonts w:ascii="Minion Pro" w:eastAsia="等线" w:hAnsi="Minion Pro" w:cs="Times New Roman"/>
      <w:color w:val="000000"/>
      <w:kern w:val="0"/>
      <w:sz w:val="20"/>
      <w:szCs w:val="20"/>
      <w:lang w:eastAsia="de-DE" w:bidi="en-US"/>
    </w:rPr>
  </w:style>
  <w:style w:type="paragraph" w:customStyle="1" w:styleId="TSP72Copyright">
    <w:name w:val="TSP_7.2_Copyright"/>
    <w:qFormat/>
    <w:rsid w:val="00F62D66"/>
    <w:pPr>
      <w:adjustRightInd w:val="0"/>
      <w:snapToGrid w:val="0"/>
      <w:spacing w:after="0" w:line="192" w:lineRule="auto"/>
      <w:jc w:val="both"/>
    </w:pPr>
    <w:rPr>
      <w:rFonts w:ascii="Minion Pro" w:eastAsia="Times New Roman" w:hAnsi="Minion Pro" w:cs="Times New Roman"/>
      <w:noProof/>
      <w:snapToGrid w:val="0"/>
      <w:color w:val="000000"/>
      <w:kern w:val="0"/>
      <w:sz w:val="18"/>
      <w:szCs w:val="20"/>
      <w:lang w:val="en-GB" w:eastAsia="en-GB"/>
    </w:rPr>
  </w:style>
  <w:style w:type="paragraph" w:customStyle="1" w:styleId="TSP73CopyrightImage">
    <w:name w:val="TSP_7.3_CopyrightImage"/>
    <w:qFormat/>
    <w:rsid w:val="00F62D66"/>
    <w:pPr>
      <w:adjustRightInd w:val="0"/>
      <w:snapToGrid w:val="0"/>
      <w:spacing w:before="20" w:after="0" w:line="228" w:lineRule="auto"/>
    </w:pPr>
    <w:rPr>
      <w:rFonts w:ascii="Minion Pro" w:eastAsia="Times New Roman" w:hAnsi="Minion Pro" w:cs="Times New Roman"/>
      <w:color w:val="000000"/>
      <w:kern w:val="0"/>
      <w:sz w:val="18"/>
      <w:szCs w:val="20"/>
      <w:lang w:eastAsia="de-CH"/>
    </w:rPr>
  </w:style>
  <w:style w:type="paragraph" w:customStyle="1" w:styleId="TSP81theorem">
    <w:name w:val="TSP_8.1_theorem"/>
    <w:qFormat/>
    <w:rsid w:val="00F62D66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i/>
      <w:snapToGrid w:val="0"/>
      <w:color w:val="000000"/>
      <w:kern w:val="0"/>
      <w:lang w:eastAsia="de-DE" w:bidi="en-US"/>
    </w:rPr>
  </w:style>
  <w:style w:type="paragraph" w:customStyle="1" w:styleId="TSP82proof">
    <w:name w:val="TSP_8.2_proof"/>
    <w:qFormat/>
    <w:rsid w:val="00F62D66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</w:rPr>
  </w:style>
  <w:style w:type="paragraph" w:customStyle="1" w:styleId="TSPequationFram">
    <w:name w:val="TSP_equationFram"/>
    <w:qFormat/>
    <w:rsid w:val="00F62D66"/>
    <w:pPr>
      <w:adjustRightInd w:val="0"/>
      <w:snapToGrid w:val="0"/>
      <w:spacing w:before="120" w:after="120" w:line="240" w:lineRule="auto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</w:rPr>
  </w:style>
  <w:style w:type="paragraph" w:customStyle="1" w:styleId="TSPfooter">
    <w:name w:val="TSP_footer"/>
    <w:qFormat/>
    <w:rsid w:val="00F62D66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sz w:val="16"/>
      <w:szCs w:val="20"/>
      <w:lang w:eastAsia="de-DE"/>
    </w:rPr>
  </w:style>
  <w:style w:type="paragraph" w:customStyle="1" w:styleId="TSPfooterfirstpage">
    <w:name w:val="TSP_footer_firstpage"/>
    <w:qFormat/>
    <w:rsid w:val="00F62D66"/>
    <w:pPr>
      <w:tabs>
        <w:tab w:val="right" w:pos="8845"/>
      </w:tabs>
      <w:suppressAutoHyphens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sz w:val="16"/>
      <w:szCs w:val="20"/>
      <w:lang w:eastAsia="de-DE"/>
    </w:rPr>
  </w:style>
  <w:style w:type="paragraph" w:customStyle="1" w:styleId="TSPheader">
    <w:name w:val="TSP_header"/>
    <w:qFormat/>
    <w:rsid w:val="00F62D66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iCs/>
      <w:color w:val="000000"/>
      <w:kern w:val="0"/>
      <w:sz w:val="16"/>
      <w:szCs w:val="20"/>
      <w:lang w:eastAsia="de-DE"/>
    </w:rPr>
  </w:style>
  <w:style w:type="paragraph" w:customStyle="1" w:styleId="TSPheadercitation">
    <w:name w:val="TSP_header_citation"/>
    <w:qFormat/>
    <w:rsid w:val="00F62D66"/>
    <w:pPr>
      <w:spacing w:after="0" w:line="228" w:lineRule="auto"/>
    </w:pPr>
    <w:rPr>
      <w:rFonts w:ascii="Minion Pro" w:eastAsia="Times New Roman" w:hAnsi="Minion Pro" w:cs="Times New Roman"/>
      <w:snapToGrid w:val="0"/>
      <w:color w:val="000000"/>
      <w:kern w:val="0"/>
      <w:sz w:val="16"/>
      <w:szCs w:val="20"/>
      <w:lang w:eastAsia="de-DE" w:bidi="en-US"/>
    </w:rPr>
  </w:style>
  <w:style w:type="paragraph" w:customStyle="1" w:styleId="TSPheaderjournallogo">
    <w:name w:val="TSP_header_journal_logo"/>
    <w:qFormat/>
    <w:rsid w:val="00F62D66"/>
    <w:pPr>
      <w:adjustRightInd w:val="0"/>
      <w:snapToGrid w:val="0"/>
      <w:spacing w:after="0" w:line="240" w:lineRule="atLeast"/>
    </w:pPr>
    <w:rPr>
      <w:rFonts w:ascii="Minion Pro" w:eastAsia="Times New Roman" w:hAnsi="Minion Pro" w:cs="Times New Roman"/>
      <w:color w:val="000000"/>
      <w:kern w:val="0"/>
      <w:lang w:eastAsia="de-CH"/>
    </w:rPr>
  </w:style>
  <w:style w:type="paragraph" w:customStyle="1" w:styleId="TSPheadertsplogo">
    <w:name w:val="TSP_header_tsp_logo"/>
    <w:qFormat/>
    <w:rsid w:val="00F62D66"/>
    <w:pPr>
      <w:adjustRightInd w:val="0"/>
      <w:snapToGrid w:val="0"/>
      <w:spacing w:after="0" w:line="240" w:lineRule="atLeast"/>
      <w:jc w:val="right"/>
    </w:pPr>
    <w:rPr>
      <w:rFonts w:ascii="Minion Pro" w:eastAsia="Times New Roman" w:hAnsi="Minion Pro" w:cs="Times New Roman"/>
      <w:color w:val="000000"/>
      <w:kern w:val="0"/>
      <w:lang w:eastAsia="de-CH"/>
    </w:rPr>
  </w:style>
  <w:style w:type="paragraph" w:customStyle="1" w:styleId="TSPtext">
    <w:name w:val="TSP_text"/>
    <w:qFormat/>
    <w:rsid w:val="00F62D66"/>
    <w:pPr>
      <w:snapToGrid w:val="0"/>
      <w:spacing w:after="0" w:line="240" w:lineRule="atLeast"/>
      <w:ind w:firstLine="425"/>
      <w:jc w:val="both"/>
    </w:pPr>
    <w:rPr>
      <w:rFonts w:ascii="Minion Pro" w:eastAsia="Times New Roman" w:hAnsi="Minion Pro" w:cs="Times New Roman"/>
      <w:noProof/>
      <w:snapToGrid w:val="0"/>
      <w:color w:val="000000"/>
      <w:kern w:val="0"/>
      <w:lang w:eastAsia="de-DE" w:bidi="en-US"/>
    </w:rPr>
  </w:style>
  <w:style w:type="paragraph" w:customStyle="1" w:styleId="TSPtitle">
    <w:name w:val="TSP_title"/>
    <w:qFormat/>
    <w:rsid w:val="00F62D66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b/>
      <w:snapToGrid w:val="0"/>
      <w:color w:val="000000"/>
      <w:kern w:val="0"/>
      <w:sz w:val="28"/>
      <w:szCs w:val="20"/>
      <w:lang w:eastAsia="de-DE" w:bidi="en-US"/>
    </w:rPr>
  </w:style>
  <w:style w:type="character" w:customStyle="1" w:styleId="y2iqfc">
    <w:name w:val="y2iqfc"/>
    <w:basedOn w:val="DefaultParagraphFont"/>
    <w:rsid w:val="000525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11" Type="http://schemas.openxmlformats.org/officeDocument/2006/relationships/theme" Target="theme/theme1.xml"/><Relationship Id="rId5" Type="http://schemas.openxmlformats.org/officeDocument/2006/relationships/image" Target="media/image1.tif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tif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521</Words>
  <Characters>3181</Characters>
  <Application>Microsoft Office Word</Application>
  <DocSecurity>0</DocSecurity>
  <Lines>43</Lines>
  <Paragraphs>11</Paragraphs>
  <ScaleCrop>false</ScaleCrop>
  <Company>Microsoft</Company>
  <LinksUpToDate>false</LinksUpToDate>
  <CharactersWithSpaces>3691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Tech Science Press</dc:creator>
  <cp:keywords/>
  <dc:description/>
  <cp:lastModifiedBy>Tech Science Press</cp:lastModifiedBy>
  <cp:revision>1</cp:revision>
  <dcterms:created xsi:type="dcterms:W3CDTF">2025-03-25T06:01:00Z</dcterms:created>
  <dcterms:modified xsi:type="dcterms:W3CDTF">2025-03-25T06:02:00Z</dcterms:modified>
</cp:coreProperties>
</file>